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方正小标宋简体" w:eastAsia="方正小标宋简体" w:cs="宋体"/>
          <w:lang w:eastAsia="zh-CN"/>
        </w:rPr>
      </w:pPr>
      <w:r>
        <w:rPr>
          <w:rFonts w:hint="eastAsia" w:ascii="方正小标宋简体" w:hAnsi="宋体" w:eastAsia="方正小标宋简体" w:cs="宋体"/>
          <w:lang w:val="en-US" w:eastAsia="zh-CN"/>
        </w:rPr>
        <w:t>镇江海纳川物流产业发展</w:t>
      </w:r>
      <w:r>
        <w:rPr>
          <w:rFonts w:hint="eastAsia" w:ascii="方正小标宋简体" w:hAnsi="宋体" w:eastAsia="方正小标宋简体" w:cs="宋体"/>
          <w:lang w:eastAsia="zh-CN"/>
        </w:rPr>
        <w:t>有限</w:t>
      </w:r>
      <w:r>
        <w:rPr>
          <w:rFonts w:hint="eastAsia" w:ascii="方正小标宋简体" w:hAnsi="宋体" w:eastAsia="方正小标宋简体" w:cs="宋体"/>
          <w:lang w:val="en-US" w:eastAsia="zh-CN"/>
        </w:rPr>
        <w:t>责任</w:t>
      </w:r>
      <w:r>
        <w:rPr>
          <w:rFonts w:hint="eastAsia" w:ascii="方正小标宋简体" w:hAnsi="宋体" w:eastAsia="方正小标宋简体" w:cs="宋体"/>
          <w:lang w:eastAsia="zh-CN"/>
        </w:rPr>
        <w:t>公司</w:t>
      </w:r>
    </w:p>
    <w:p>
      <w:pPr>
        <w:pStyle w:val="4"/>
        <w:rPr>
          <w:rFonts w:ascii="方正小标宋简体" w:eastAsia="方正小标宋简体" w:cs="宋体"/>
        </w:rPr>
      </w:pPr>
      <w:r>
        <w:rPr>
          <w:rFonts w:hint="eastAsia" w:ascii="方正小标宋简体" w:hAnsi="宋体" w:eastAsia="方正小标宋简体" w:cs="宋体"/>
        </w:rPr>
        <w:t>招标文件</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sz w:val="32"/>
          <w:szCs w:val="32"/>
          <w:lang w:eastAsia="zh-CN"/>
        </w:rPr>
      </w:pPr>
      <w:r>
        <w:rPr>
          <w:rFonts w:hint="eastAsia" w:ascii="方正仿宋简体" w:hAnsi="方正仿宋简体" w:eastAsia="方正仿宋简体" w:cs="方正仿宋简体"/>
          <w:bCs/>
          <w:sz w:val="32"/>
          <w:szCs w:val="32"/>
        </w:rPr>
        <w:t>我公司现</w:t>
      </w:r>
      <w:r>
        <w:rPr>
          <w:rFonts w:hint="eastAsia" w:ascii="方正仿宋简体" w:hAnsi="方正仿宋简体" w:eastAsia="方正仿宋简体" w:cs="方正仿宋简体"/>
          <w:bCs/>
          <w:sz w:val="32"/>
          <w:szCs w:val="32"/>
          <w:lang w:val="zh-CN"/>
        </w:rPr>
        <w:t>采用</w:t>
      </w:r>
      <w:r>
        <w:rPr>
          <w:rFonts w:hint="eastAsia" w:ascii="方正仿宋简体" w:hAnsi="方正仿宋简体" w:eastAsia="方正仿宋简体" w:cs="方正仿宋简体"/>
          <w:bCs/>
          <w:color w:val="auto"/>
          <w:sz w:val="32"/>
          <w:szCs w:val="32"/>
          <w:lang w:val="zh-CN"/>
        </w:rPr>
        <w:t>自主公开招标的方式选定供应商，</w:t>
      </w:r>
      <w:r>
        <w:rPr>
          <w:rFonts w:hint="eastAsia" w:ascii="方正仿宋简体" w:hAnsi="方正仿宋简体" w:eastAsia="方正仿宋简体" w:cs="方正仿宋简体"/>
          <w:color w:val="auto"/>
          <w:sz w:val="32"/>
          <w:szCs w:val="32"/>
        </w:rPr>
        <w:t>欢迎具有相关资质的</w:t>
      </w:r>
      <w:r>
        <w:rPr>
          <w:rFonts w:hint="eastAsia" w:ascii="方正仿宋简体" w:hAnsi="方正仿宋简体" w:eastAsia="方正仿宋简体" w:cs="方正仿宋简体"/>
          <w:color w:val="auto"/>
          <w:sz w:val="32"/>
          <w:szCs w:val="32"/>
          <w:lang w:val="en-US" w:eastAsia="zh-CN"/>
        </w:rPr>
        <w:t>保险公司</w:t>
      </w:r>
      <w:r>
        <w:rPr>
          <w:rFonts w:hint="eastAsia" w:ascii="方正仿宋简体" w:hAnsi="方正仿宋简体" w:eastAsia="方正仿宋简体" w:cs="方正仿宋简体"/>
          <w:color w:val="auto"/>
          <w:sz w:val="32"/>
          <w:szCs w:val="32"/>
        </w:rPr>
        <w:t>前来投标</w:t>
      </w:r>
      <w:r>
        <w:rPr>
          <w:rFonts w:hint="eastAsia" w:ascii="方正仿宋简体" w:hAnsi="方正仿宋简体" w:eastAsia="方正仿宋简体" w:cs="方正仿宋简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黑体_GBK" w:hAnsi="方正黑体_GBK" w:eastAsia="方正黑体_GBK" w:cs="方正黑体_GBK"/>
          <w:b w:val="0"/>
          <w:bCs w:val="0"/>
          <w:sz w:val="32"/>
          <w:szCs w:val="32"/>
          <w:lang w:val="en-US" w:eastAsia="zh-CN"/>
        </w:rPr>
        <w:t>一、招标概况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sz w:val="32"/>
          <w:szCs w:val="32"/>
          <w:lang w:val="en-US" w:eastAsia="zh-CN"/>
        </w:rPr>
        <w:t xml:space="preserve">（一） </w:t>
      </w:r>
      <w:r>
        <w:rPr>
          <w:rFonts w:hint="eastAsia" w:ascii="方正仿宋简体" w:hAnsi="方正仿宋简体" w:eastAsia="方正仿宋简体" w:cs="方正仿宋简体"/>
          <w:bCs/>
          <w:sz w:val="32"/>
          <w:szCs w:val="32"/>
          <w:lang w:val="en-US" w:eastAsia="zh-CN"/>
        </w:rPr>
        <w:t>项目名称：</w:t>
      </w:r>
      <w:r>
        <w:rPr>
          <w:rFonts w:hint="eastAsia" w:ascii="方正仿宋简体" w:hAnsi="方正仿宋简体" w:eastAsia="方正仿宋简体" w:cs="方正仿宋简体"/>
          <w:bCs/>
          <w:sz w:val="32"/>
          <w:szCs w:val="32"/>
          <w:u w:val="single"/>
          <w:lang w:val="en-US" w:eastAsia="zh-CN"/>
        </w:rPr>
        <w:t xml:space="preserve"> </w:t>
      </w:r>
      <w:r>
        <w:rPr>
          <w:rFonts w:hint="eastAsia" w:ascii="方正仿宋简体" w:hAnsi="方正仿宋简体" w:eastAsia="方正仿宋简体" w:cs="方正仿宋简体"/>
          <w:bCs/>
          <w:sz w:val="32"/>
          <w:szCs w:val="32"/>
          <w:u w:val="single"/>
        </w:rPr>
        <w:t>202</w:t>
      </w:r>
      <w:r>
        <w:rPr>
          <w:rFonts w:hint="eastAsia" w:ascii="方正仿宋简体" w:hAnsi="方正仿宋简体" w:eastAsia="方正仿宋简体" w:cs="方正仿宋简体"/>
          <w:bCs/>
          <w:sz w:val="32"/>
          <w:szCs w:val="32"/>
          <w:u w:val="single"/>
          <w:lang w:val="en-US" w:eastAsia="zh-CN"/>
        </w:rPr>
        <w:t>3</w:t>
      </w:r>
      <w:r>
        <w:rPr>
          <w:rFonts w:hint="eastAsia" w:ascii="方正仿宋简体" w:hAnsi="方正仿宋简体" w:eastAsia="方正仿宋简体" w:cs="方正仿宋简体"/>
          <w:bCs/>
          <w:sz w:val="32"/>
          <w:szCs w:val="32"/>
          <w:u w:val="single"/>
        </w:rPr>
        <w:t>年</w:t>
      </w:r>
      <w:r>
        <w:rPr>
          <w:rFonts w:hint="eastAsia" w:ascii="方正仿宋简体" w:hAnsi="方正仿宋简体" w:eastAsia="方正仿宋简体" w:cs="方正仿宋简体"/>
          <w:bCs/>
          <w:sz w:val="32"/>
          <w:szCs w:val="32"/>
          <w:u w:val="single"/>
          <w:lang w:val="en-US" w:eastAsia="zh-CN"/>
        </w:rPr>
        <w:t>-2024年</w:t>
      </w:r>
      <w:r>
        <w:rPr>
          <w:rFonts w:hint="eastAsia" w:ascii="方正仿宋简体" w:hAnsi="方正仿宋简体" w:eastAsia="方正仿宋简体" w:cs="方正仿宋简体"/>
          <w:bCs/>
          <w:sz w:val="32"/>
          <w:szCs w:val="32"/>
          <w:u w:val="single"/>
        </w:rPr>
        <w:t>度</w:t>
      </w:r>
      <w:r>
        <w:rPr>
          <w:rFonts w:hint="eastAsia" w:ascii="方正仿宋简体" w:hAnsi="方正仿宋简体" w:eastAsia="方正仿宋简体" w:cs="方正仿宋简体"/>
          <w:bCs/>
          <w:sz w:val="32"/>
          <w:szCs w:val="32"/>
          <w:u w:val="single"/>
          <w:lang w:val="en-US" w:eastAsia="zh-CN"/>
        </w:rPr>
        <w:t>车辆</w:t>
      </w:r>
      <w:r>
        <w:rPr>
          <w:rFonts w:hint="eastAsia" w:ascii="方正仿宋简体" w:hAnsi="方正仿宋简体" w:eastAsia="方正仿宋简体" w:cs="方正仿宋简体"/>
          <w:bCs/>
          <w:sz w:val="32"/>
          <w:szCs w:val="32"/>
          <w:u w:val="single"/>
        </w:rPr>
        <w:t>保险</w:t>
      </w:r>
      <w:r>
        <w:rPr>
          <w:rFonts w:hint="eastAsia" w:ascii="方正仿宋简体" w:hAnsi="方正仿宋简体" w:eastAsia="方正仿宋简体" w:cs="方正仿宋简体"/>
          <w:bCs/>
          <w:sz w:val="32"/>
          <w:szCs w:val="32"/>
          <w:u w:val="single"/>
          <w:lang w:eastAsia="zh-CN"/>
        </w:rPr>
        <w:t>、</w:t>
      </w:r>
      <w:r>
        <w:rPr>
          <w:rFonts w:hint="eastAsia" w:ascii="方正仿宋简体" w:hAnsi="方正仿宋简体" w:eastAsia="方正仿宋简体" w:cs="方正仿宋简体"/>
          <w:bCs/>
          <w:sz w:val="32"/>
          <w:szCs w:val="32"/>
          <w:u w:val="single"/>
          <w:lang w:val="en-US" w:eastAsia="zh-CN"/>
        </w:rPr>
        <w:t xml:space="preserve">道路承运人责任险 </w:t>
      </w:r>
      <w:r>
        <w:rPr>
          <w:rFonts w:hint="eastAsia" w:ascii="方正仿宋简体" w:hAnsi="方正仿宋简体" w:eastAsia="方正仿宋简体" w:cs="方正仿宋简体"/>
          <w:bCs/>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sz w:val="32"/>
          <w:szCs w:val="32"/>
          <w:lang w:val="en-US" w:eastAsia="zh-CN"/>
        </w:rPr>
        <w:t>（二）</w:t>
      </w:r>
      <w:r>
        <w:rPr>
          <w:rFonts w:hint="eastAsia" w:ascii="方正仿宋简体" w:hAnsi="方正仿宋简体" w:eastAsia="方正仿宋简体" w:cs="方正仿宋简体"/>
          <w:sz w:val="32"/>
          <w:szCs w:val="32"/>
          <w:lang w:val="en-US" w:eastAsia="zh-CN"/>
        </w:rPr>
        <w:t>投标截止时间：</w:t>
      </w:r>
      <w:r>
        <w:rPr>
          <w:rFonts w:hint="eastAsia" w:ascii="方正仿宋简体" w:hAnsi="方正仿宋简体" w:eastAsia="方正仿宋简体" w:cs="方正仿宋简体"/>
          <w:sz w:val="32"/>
          <w:szCs w:val="32"/>
          <w:u w:val="single"/>
          <w:lang w:val="en-US" w:eastAsia="zh-CN"/>
        </w:rPr>
        <w:t xml:space="preserve"> 2023年8月3日下午2点整 </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sz w:val="32"/>
          <w:szCs w:val="32"/>
          <w:lang w:val="en-US" w:eastAsia="zh-CN"/>
        </w:rPr>
        <w:t>（三）</w:t>
      </w:r>
      <w:r>
        <w:rPr>
          <w:rFonts w:hint="eastAsia" w:ascii="方正仿宋简体" w:hAnsi="方正仿宋简体" w:eastAsia="方正仿宋简体" w:cs="方正仿宋简体"/>
          <w:sz w:val="32"/>
          <w:szCs w:val="32"/>
          <w:lang w:val="en-US" w:eastAsia="zh-CN"/>
        </w:rPr>
        <w:t>初定开标时间：</w:t>
      </w:r>
      <w:r>
        <w:rPr>
          <w:rFonts w:hint="eastAsia" w:ascii="方正仿宋简体" w:hAnsi="方正仿宋简体" w:eastAsia="方正仿宋简体" w:cs="方正仿宋简体"/>
          <w:sz w:val="32"/>
          <w:szCs w:val="32"/>
          <w:u w:val="single"/>
          <w:lang w:val="en-US" w:eastAsia="zh-CN"/>
        </w:rPr>
        <w:t xml:space="preserve"> 2023年8月3日下午2点整</w:t>
      </w:r>
      <w:r>
        <w:rPr>
          <w:rFonts w:hint="eastAsia" w:ascii="方正仿宋简体" w:hAnsi="方正仿宋简体" w:eastAsia="方正仿宋简体" w:cs="方正仿宋简体"/>
          <w:sz w:val="32"/>
          <w:szCs w:val="32"/>
          <w:u w:val="single" w:color="auto"/>
          <w:lang w:val="en-US" w:eastAsia="zh-CN"/>
        </w:rPr>
        <w:t xml:space="preserve"> </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楷体_GBK" w:hAnsi="方正楷体_GBK" w:eastAsia="方正楷体_GBK" w:cs="方正楷体_GBK"/>
          <w:sz w:val="32"/>
          <w:szCs w:val="32"/>
          <w:lang w:val="en-US" w:eastAsia="zh-CN"/>
        </w:rPr>
        <w:t>（四）</w:t>
      </w:r>
      <w:r>
        <w:rPr>
          <w:rFonts w:hint="eastAsia" w:ascii="方正仿宋简体" w:hAnsi="方正仿宋简体" w:eastAsia="方正仿宋简体" w:cs="方正仿宋简体"/>
          <w:sz w:val="32"/>
          <w:szCs w:val="32"/>
          <w:lang w:val="en-US" w:eastAsia="zh-CN"/>
        </w:rPr>
        <w:t>开标地点：</w:t>
      </w:r>
      <w:r>
        <w:rPr>
          <w:rFonts w:hint="eastAsia" w:ascii="方正仿宋简体" w:hAnsi="方正仿宋简体" w:eastAsia="方正仿宋简体" w:cs="方正仿宋简体"/>
          <w:sz w:val="32"/>
          <w:szCs w:val="32"/>
          <w:u w:val="single" w:color="auto"/>
          <w:lang w:val="en-US" w:eastAsia="zh-CN"/>
        </w:rPr>
        <w:t>镇江海纳川物流产业发展有限责任公司210</w:t>
      </w:r>
      <w:r>
        <w:rPr>
          <w:rFonts w:hint="eastAsia" w:ascii="方正仿宋简体" w:hAnsi="方正仿宋简体" w:eastAsia="方正仿宋简体" w:cs="方正仿宋简体"/>
          <w:sz w:val="32"/>
          <w:szCs w:val="32"/>
          <w:highlight w:val="none"/>
          <w:u w:val="single" w:color="auto"/>
          <w:lang w:val="en-US" w:eastAsia="zh-CN"/>
        </w:rPr>
        <w:t>开标室</w:t>
      </w:r>
      <w:r>
        <w:rPr>
          <w:rFonts w:hint="eastAsia" w:ascii="方正仿宋简体" w:hAnsi="方正仿宋简体" w:eastAsia="方正仿宋简体" w:cs="方正仿宋简体"/>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w:t>
      </w:r>
      <w:r>
        <w:rPr>
          <w:rFonts w:hint="eastAsia" w:ascii="方正仿宋简体" w:hAnsi="方正仿宋简体" w:eastAsia="方正仿宋简体" w:cs="方正仿宋简体"/>
          <w:kern w:val="2"/>
          <w:sz w:val="32"/>
          <w:szCs w:val="32"/>
          <w:lang w:val="en-US" w:eastAsia="zh-CN" w:bidi="ar-SA"/>
        </w:rPr>
        <w:t>中标公示：中标信息将于开标后在海纳川官网公示，请各投标人登录</w:t>
      </w:r>
      <w:r>
        <w:rPr>
          <w:rFonts w:hint="eastAsia" w:ascii="方正仿宋简体" w:hAnsi="方正仿宋简体" w:eastAsia="方正仿宋简体" w:cs="方正仿宋简体"/>
          <w:bCs/>
          <w:color w:val="auto"/>
          <w:sz w:val="32"/>
          <w:szCs w:val="32"/>
          <w:u w:val="none"/>
          <w:lang w:val="en-US" w:eastAsia="zh-CN" w:bidi="ar-SA"/>
        </w:rPr>
        <w:t>http://www.zjshnc.com</w:t>
      </w:r>
      <w:r>
        <w:rPr>
          <w:rFonts w:hint="eastAsia" w:ascii="方正仿宋简体" w:hAnsi="方正仿宋简体" w:eastAsia="方正仿宋简体" w:cs="方正仿宋简体"/>
          <w:kern w:val="2"/>
          <w:sz w:val="32"/>
          <w:szCs w:val="32"/>
          <w:lang w:val="en-US" w:eastAsia="zh-CN" w:bidi="ar-SA"/>
        </w:rPr>
        <w:t>查询。</w:t>
      </w:r>
    </w:p>
    <w:p>
      <w:pPr>
        <w:wordWrap w:val="0"/>
        <w:ind w:firstLine="640" w:firstLineChars="200"/>
        <w:jc w:val="left"/>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二、招标内容</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仿宋" w:hAnsi="仿宋" w:eastAsia="仿宋" w:cs="仿宋"/>
          <w:bCs/>
          <w:sz w:val="30"/>
          <w:szCs w:val="30"/>
        </w:rPr>
        <w:t xml:space="preserve"> </w:t>
      </w:r>
      <w:r>
        <w:rPr>
          <w:rFonts w:hint="eastAsia" w:ascii="仿宋" w:hAnsi="仿宋" w:eastAsia="仿宋" w:cs="仿宋"/>
          <w:bCs/>
          <w:sz w:val="30"/>
          <w:szCs w:val="30"/>
          <w:lang w:val="en-US" w:eastAsia="zh-CN"/>
        </w:rPr>
        <w:t xml:space="preserve">   </w:t>
      </w:r>
      <w:r>
        <w:rPr>
          <w:rFonts w:hint="eastAsia" w:ascii="仿宋" w:hAnsi="仿宋" w:eastAsia="仿宋" w:cs="仿宋"/>
          <w:bCs/>
          <w:sz w:val="30"/>
          <w:szCs w:val="30"/>
          <w:highlight w:val="none"/>
          <w:lang w:val="en-US" w:eastAsia="zh-CN"/>
        </w:rPr>
        <w:t xml:space="preserve"> </w:t>
      </w:r>
      <w:r>
        <w:rPr>
          <w:rFonts w:hint="eastAsia" w:ascii="方正仿宋简体" w:hAnsi="方正仿宋简体" w:eastAsia="方正仿宋简体" w:cs="方正仿宋简体"/>
          <w:kern w:val="2"/>
          <w:sz w:val="32"/>
          <w:szCs w:val="32"/>
          <w:highlight w:val="none"/>
          <w:lang w:val="en-US" w:eastAsia="zh-CN" w:bidi="ar-SA"/>
        </w:rPr>
        <w:t>1.本次项目由海纳川统一招标，中标单位根据报价明细分别与镇江海纳川物流产业发展有限责任公司（简称海纳川）、镇江海纳川公铁运输有限公司（简称公铁运输）签订合同。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kern w:val="2"/>
          <w:sz w:val="32"/>
          <w:szCs w:val="32"/>
          <w:highlight w:val="none"/>
          <w:lang w:val="en-US" w:eastAsia="zh-CN" w:bidi="ar-SA"/>
        </w:rPr>
        <w:t>2.海纳川约有3辆车需投保车辆保险。公铁运输约有15辆车需投保车辆保险，其中约6辆挂车（对应牵引车头）需投保道路承运人责任险。详见车辆信息表及海纳川车辆保险项目清单报价表，以实际购买车辆保险费为准；详见车辆承运人责任险明细表。</w:t>
      </w:r>
    </w:p>
    <w:tbl>
      <w:tblPr>
        <w:tblStyle w:val="13"/>
        <w:tblW w:w="10731" w:type="dxa"/>
        <w:tblInd w:w="-10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230"/>
        <w:gridCol w:w="1575"/>
        <w:gridCol w:w="1350"/>
        <w:gridCol w:w="1560"/>
        <w:gridCol w:w="615"/>
        <w:gridCol w:w="720"/>
        <w:gridCol w:w="900"/>
        <w:gridCol w:w="2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0731"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镇</w:t>
            </w:r>
            <w:r>
              <w:rPr>
                <w:rFonts w:hint="eastAsia" w:ascii="宋体" w:hAnsi="宋体" w:eastAsia="宋体" w:cs="宋体"/>
                <w:i w:val="0"/>
                <w:iCs w:val="0"/>
                <w:color w:val="000000"/>
                <w:kern w:val="0"/>
                <w:sz w:val="22"/>
                <w:szCs w:val="22"/>
                <w:u w:val="none"/>
                <w:lang w:val="en-US" w:eastAsia="zh-CN" w:bidi="ar"/>
              </w:rPr>
              <w:t>江海纳川公铁运输有限公司车辆信息表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车架号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车型</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座位数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燃料方式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购置日期</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苏L25179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LFWSRXPH4FAD03795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52558309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重型半挂牵引车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柴油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2015.4.30</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解放CA4256P2K2T1E4A80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苏L51337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LFWSRXRHXHAD84298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52826153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重型半挂牵引车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柴油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2017.3.31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解放CA4255P2K2T1E5A80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苏L60260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LFWSRXRJ0H1E37173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52872952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重型半挂牵引车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柴油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2017.7.27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解放CA4250P66K24T1E5Z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苏L60786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LFWSRXRJ0H1E32667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52855083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重型半挂牵引车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柴油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2017.7.27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解放CA4250P66K24T1E5Z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苏L83121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LFWSRXRJ9M1E05624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53598722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重型半挂牵引车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柴油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2021.4.12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解放CA4250P66K25T1E6Z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苏L6398挂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LJRC09381G2008280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重型集装箱半挂车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2016.6.17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通华牌THT9403TWY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苏L6509挂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LJRC09385G2008282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重型集装箱半挂车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2016.6.17</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通华牌THT9403TWY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苏L5210挂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LJRC10387E2015093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重型集装箱半挂车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2014.11.14</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通华牌THT9401TJZA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苏L8856挂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LJRC09380H2028070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重型集装箱半挂车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2017.12.29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通华牌THT9403TWY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苏L8802挂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LJRC09384H2028072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重型集装箱半挂车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2017.12.29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通华牌THT9403TWY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苏L8656挂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LJRC09384H2028069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重型集装箱半挂车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2017.12.29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通华牌THT9403TWY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苏L8185挂</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LJRC09382H2028071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重型集装箱半挂车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2017.12.29</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通华牌THT9403TWY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苏L537A9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LZWADAGA5HG054276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8H51820763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小型普通客车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汽油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2018.1.2</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LZW6441JY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苏L607Y7</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LJNTFU5K4JN313452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519137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轻型厢式货车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汽油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2019.1.16</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ZN5023XXYU5N5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苏LG733Z</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LJNTGUCY6KN139681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486569D</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多用货车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汽油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2019.10.1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日产牌ZW1035UCK6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0731" w:type="dxa"/>
            <w:gridSpan w:val="9"/>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镇江海纳川物流产业发展有限责任公司车辆信息表（含兴普）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w:t>
            </w:r>
            <w:r>
              <w:rPr>
                <w:rFonts w:hint="default" w:ascii="Times New Roman" w:hAnsi="Times New Roman" w:eastAsia="宋体" w:cs="Times New Roman"/>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车架号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车型</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座位数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燃料方式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购置日期</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苏L3A569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LSGUA83B0EE083633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142890216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小型普通客车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2015.4.8</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别克牌SGM6531UAAB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苏L680C9</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LFV3A23CXH3046031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A84743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小型普通客车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2017.8.21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大众牌FV7187BBDBG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苏L6F116</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LSGUA84B9GE003439</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152990184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小型普通客车</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2016.3.11</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别克牌SGM6531UAAB</w:t>
            </w:r>
          </w:p>
        </w:tc>
      </w:tr>
    </w:tbl>
    <w:tbl>
      <w:tblPr>
        <w:tblStyle w:val="13"/>
        <w:tblpPr w:leftFromText="180" w:rightFromText="180" w:vertAnchor="text" w:horzAnchor="page" w:tblpX="419" w:tblpY="1230"/>
        <w:tblOverlap w:val="never"/>
        <w:tblW w:w="111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216"/>
        <w:gridCol w:w="732"/>
        <w:gridCol w:w="756"/>
        <w:gridCol w:w="876"/>
        <w:gridCol w:w="770"/>
        <w:gridCol w:w="836"/>
        <w:gridCol w:w="1164"/>
        <w:gridCol w:w="1596"/>
        <w:gridCol w:w="2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1136"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8"/>
                <w:szCs w:val="48"/>
                <w:u w:val="none"/>
              </w:rPr>
            </w:pPr>
            <w:r>
              <w:rPr>
                <w:rFonts w:hint="eastAsia" w:ascii="黑体" w:hAnsi="宋体" w:eastAsia="黑体" w:cs="黑体"/>
                <w:i w:val="0"/>
                <w:iCs w:val="0"/>
                <w:color w:val="000000"/>
                <w:kern w:val="0"/>
                <w:sz w:val="44"/>
                <w:szCs w:val="44"/>
                <w:u w:val="none"/>
                <w:lang w:val="en-US" w:eastAsia="zh-CN" w:bidi="ar"/>
              </w:rPr>
              <w:t>海纳川车辆保险项目清单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号    牌</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交强险及税</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车辆损失险</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第三者责任险</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车辆玻璃破碎险</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基本险不计免赔率特约险</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车上人员责任险（司机）</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车上人员责任险（乘客）</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车辆保险期限（具体时间，参照保单）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苏L25179</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2万/人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2人，2万/人</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2024.4.29-2025.4.28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苏L51337</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2万/人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2人，2万/人</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2024.3.30-2025.3.29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苏L60260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2万/人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2人，2万/人</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2024.7.28-2025.7.27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苏L60786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2万/人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2人，2万/人</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2024.7.28-2025.7.27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苏L83121</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2万/人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2人，2万/人</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2024.3.30-2025.3.29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苏L6398挂</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2024.6.15-2025.6.14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苏L6509挂</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2024.6.15-2025.6.14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苏L5210挂</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2023.11.18-2024.11.17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苏L8856挂</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2024.1.3-2025.1.2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苏L8802挂</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2024.1.3-2025.1.2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苏L8656挂</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2024.1.3-2025.1.2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苏L8185挂</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2024.1.3-2025.1.2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苏L537A9</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2万/人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6人，2万/人</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2023.12.30-2024.12.30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苏L607Y7</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2万/人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4人，3万/人</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2024.1.16-2025.1.15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苏L3A569</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2万/人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2人，2万/人</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2024.4.8-2025.4.7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苏L6F116</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2万/人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2人，2万/人</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2024.3.11-2025.3.10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苏L680C9</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2万/人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2人，2万/人</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2023.8.19-2024.8.18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苏LG733Z</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2万/人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2人，2万/人</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2023.10.22-2024.10.21</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lang w:val="en-US" w:eastAsia="zh-CN"/>
        </w:rPr>
      </w:pPr>
      <w:r>
        <w:rPr>
          <w:rFonts w:hint="eastAsia" w:ascii="方正仿宋简体" w:hAnsi="方正仿宋简体" w:eastAsia="方正仿宋简体" w:cs="方正仿宋简体"/>
          <w:kern w:val="2"/>
          <w:sz w:val="32"/>
          <w:szCs w:val="32"/>
          <w:highlight w:val="none"/>
          <w:lang w:val="en-US" w:eastAsia="zh-CN" w:bidi="ar-SA"/>
        </w:rPr>
        <w:t>3.</w:t>
      </w:r>
      <w:r>
        <w:rPr>
          <w:rFonts w:hint="eastAsia" w:ascii="方正仿宋简体" w:hAnsi="方正仿宋简体" w:eastAsia="方正仿宋简体" w:cs="方正仿宋简体"/>
          <w:kern w:val="2"/>
          <w:sz w:val="32"/>
          <w:szCs w:val="32"/>
          <w:lang w:val="en-US" w:eastAsia="zh-CN" w:bidi="ar-SA"/>
        </w:rPr>
        <w:t>合同期限：合同签订之日起一年（2023年9月1日-2024年8月31日）。</w:t>
      </w:r>
    </w:p>
    <w:tbl>
      <w:tblPr>
        <w:tblStyle w:val="13"/>
        <w:tblpPr w:leftFromText="180" w:rightFromText="180" w:vertAnchor="text" w:horzAnchor="page" w:tblpX="824" w:tblpY="638"/>
        <w:tblOverlap w:val="never"/>
        <w:tblW w:w="10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3816"/>
        <w:gridCol w:w="2690"/>
        <w:gridCol w:w="3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40" w:type="dxa"/>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2023年车辆承运人责任险明细表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被保险人</w:t>
            </w: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牌照号码</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保险期限（具体时间参照保单）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3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镇江海纳川公铁运输有限公司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苏L8185挂/苏L60260</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2024.1.3-2025.1.2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3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镇江海纳川公铁运输有限公司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苏L8656挂/苏L60786</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2024.1.3-2025.1.2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3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镇江海纳川公铁运输有限公司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苏L8856挂/苏L83121</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2024.1.3-2025.1.2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3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镇江海纳川公铁运输有限公司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苏L8802挂/苏L51337</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2024.1.3-2025.1.2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镇江海纳川公铁运输有限公司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苏L6509挂/苏L21176</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2024.6.21-2025.6.20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3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镇江海纳川公铁运输有限公司</w:t>
            </w:r>
          </w:p>
        </w:tc>
        <w:tc>
          <w:tcPr>
            <w:tcW w:w="2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苏L25179/苏L6398挂</w:t>
            </w:r>
          </w:p>
        </w:tc>
        <w:tc>
          <w:tcPr>
            <w:tcW w:w="3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2024.6.21-2025.6.20</w:t>
            </w:r>
          </w:p>
        </w:tc>
      </w:tr>
    </w:tbl>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highlight w:val="none"/>
          <w:lang w:val="en-US" w:eastAsia="zh-CN"/>
        </w:rPr>
        <w:t>4.</w:t>
      </w:r>
      <w:r>
        <w:rPr>
          <w:rFonts w:hint="eastAsia" w:ascii="方正仿宋简体" w:hAnsi="方正仿宋简体" w:eastAsia="方正仿宋简体" w:cs="方正仿宋简体"/>
          <w:sz w:val="32"/>
          <w:szCs w:val="32"/>
          <w:lang w:val="en-US" w:eastAsia="zh-CN"/>
        </w:rPr>
        <w:t>车辆承运人责任险投保内容:（1）货物事故责任险：每次事故责任限额10000元/辆车，每辆车累计责任限额50000元，每辆车每次事故免赔额1000元。（2）第三者责任保险：第三者人身伤亡与财产损失，每次事故责任限额100万元，其中每人人身伤亡责任限额40万元，累计责任限额100万元，每次事故免赔额1000元。（3）除污费用：每次事故责任限额4万元，累计责任限额20万元，每次事故免赔额5000元。</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Cs/>
          <w:sz w:val="32"/>
          <w:szCs w:val="32"/>
          <w:lang w:val="en-US" w:eastAsia="zh-CN"/>
        </w:rPr>
      </w:pPr>
      <w:r>
        <w:rPr>
          <w:rFonts w:hint="eastAsia" w:ascii="方正黑体_GBK" w:hAnsi="方正黑体_GBK" w:eastAsia="方正黑体_GBK" w:cs="方正黑体_GBK"/>
          <w:b w:val="0"/>
          <w:bCs w:val="0"/>
          <w:kern w:val="2"/>
          <w:sz w:val="32"/>
          <w:szCs w:val="32"/>
          <w:lang w:val="en-US" w:eastAsia="zh-CN" w:bidi="ar-SA"/>
        </w:rPr>
        <w:t>三、投标人资质与要求</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320" w:firstLineChars="1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资质</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投标公司必须是拥有中国银保监会批准开展财产保险业务的资格，且必须在镇江市有设立分（支)公司。</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本次投标公司必须符合下列条件：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1.具有合法的企业营业执照以及相关资质证明。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2.投标公司代表必须是公司的法定负责人或授权代理人。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3.投标公司在承保安排、人员组织、业绩经验、方案设计、经营管理和配套服务等方面具有相关的资格和能力。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4.投标公司参加此次招标事项前三年内，在经营活动中没有重大违法记录。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5.投标公司具有良好的银行资信和商业信誉，没有处于被责令停业、财产被接管、冻结、破产状态。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6.投标公司具有承保本次招标公司提出险种的经营范围。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7.法律、行政法规规定的其他条件。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综合情况要求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评标小组本着公平、公正的原则进行评标，按照百分制对各投标单位资质、服务质量、荣誉、偿付能力充足率、业务能力进行综合评分，综合评分</w:t>
      </w:r>
      <w:r>
        <w:rPr>
          <w:rFonts w:hint="eastAsia" w:ascii="方正仿宋简体" w:hAnsi="方正仿宋简体" w:eastAsia="方正仿宋简体" w:cs="方正仿宋简体"/>
          <w:sz w:val="32"/>
          <w:szCs w:val="32"/>
          <w:lang w:val="en-US" w:eastAsia="zh-CN"/>
        </w:rPr>
        <w:t>需要</w:t>
      </w:r>
      <w:r>
        <w:rPr>
          <w:rFonts w:hint="eastAsia" w:ascii="方正仿宋简体" w:hAnsi="方正仿宋简体" w:eastAsia="方正仿宋简体" w:cs="方正仿宋简体"/>
          <w:sz w:val="32"/>
          <w:szCs w:val="32"/>
        </w:rPr>
        <w:t>达到80分</w:t>
      </w:r>
      <w:r>
        <w:rPr>
          <w:rFonts w:hint="eastAsia" w:ascii="方正仿宋简体" w:hAnsi="方正仿宋简体" w:eastAsia="方正仿宋简体" w:cs="方正仿宋简体"/>
          <w:sz w:val="32"/>
          <w:szCs w:val="32"/>
          <w:lang w:val="en-US" w:eastAsia="zh-CN"/>
        </w:rPr>
        <w:t>方可进入下一轮评标。</w:t>
      </w:r>
    </w:p>
    <w:tbl>
      <w:tblPr>
        <w:tblStyle w:val="13"/>
        <w:tblpPr w:leftFromText="180" w:rightFromText="180" w:vertAnchor="text" w:horzAnchor="page" w:tblpX="868" w:tblpY="524"/>
        <w:tblOverlap w:val="never"/>
        <w:tblW w:w="106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2"/>
        <w:gridCol w:w="2687"/>
        <w:gridCol w:w="2292"/>
        <w:gridCol w:w="3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682" w:type="dxa"/>
            <w:gridSpan w:val="4"/>
            <w:noWrap w:val="0"/>
            <w:vAlign w:val="top"/>
          </w:tcPr>
          <w:p>
            <w:pPr>
              <w:pStyle w:val="8"/>
              <w:tabs>
                <w:tab w:val="left" w:pos="2977"/>
                <w:tab w:val="left" w:pos="3119"/>
                <w:tab w:val="left" w:pos="8789"/>
              </w:tabs>
              <w:ind w:right="512" w:rightChars="244" w:firstLine="562"/>
              <w:rPr>
                <w:rFonts w:hint="default" w:ascii="宋体" w:hAnsi="宋体" w:eastAsia="黑体"/>
                <w:b/>
                <w:bCs/>
                <w:color w:val="auto"/>
                <w:sz w:val="28"/>
                <w:szCs w:val="28"/>
                <w:lang w:val="en-US" w:eastAsia="zh-CN"/>
              </w:rPr>
            </w:pPr>
            <w:r>
              <w:rPr>
                <w:rFonts w:hint="eastAsia" w:ascii="宋体" w:hAnsi="宋体"/>
                <w:b/>
                <w:bCs/>
                <w:color w:val="auto"/>
                <w:sz w:val="28"/>
                <w:szCs w:val="28"/>
                <w:lang w:val="en-US" w:eastAsia="zh-CN"/>
              </w:rPr>
              <w:t>镇江海纳川物流产业发展有限责任公司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0682" w:type="dxa"/>
            <w:gridSpan w:val="4"/>
            <w:noWrap w:val="0"/>
            <w:vAlign w:val="top"/>
          </w:tcPr>
          <w:p>
            <w:pPr>
              <w:pStyle w:val="8"/>
              <w:tabs>
                <w:tab w:val="left" w:pos="2977"/>
                <w:tab w:val="left" w:pos="3119"/>
                <w:tab w:val="left" w:pos="8789"/>
              </w:tabs>
              <w:ind w:right="512" w:rightChars="244" w:firstLine="562"/>
              <w:rPr>
                <w:rFonts w:ascii="宋体" w:hAnsi="宋体"/>
                <w:b/>
                <w:bCs/>
                <w:color w:val="auto"/>
                <w:sz w:val="28"/>
                <w:szCs w:val="28"/>
              </w:rPr>
            </w:pPr>
            <w:r>
              <w:rPr>
                <w:rFonts w:hint="eastAsia" w:ascii="宋体" w:hAnsi="宋体"/>
                <w:b/>
                <w:bCs/>
                <w:color w:val="auto"/>
                <w:sz w:val="28"/>
                <w:szCs w:val="28"/>
              </w:rPr>
              <w:t>综合评分表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10682" w:type="dxa"/>
            <w:gridSpan w:val="4"/>
            <w:noWrap w:val="0"/>
            <w:vAlign w:val="top"/>
          </w:tcPr>
          <w:p>
            <w:pPr>
              <w:pStyle w:val="8"/>
              <w:tabs>
                <w:tab w:val="left" w:pos="2977"/>
                <w:tab w:val="left" w:pos="3119"/>
                <w:tab w:val="left" w:pos="8789"/>
              </w:tabs>
              <w:ind w:right="512" w:rightChars="244" w:firstLine="562"/>
              <w:rPr>
                <w:rFonts w:ascii="宋体" w:hAnsi="宋体"/>
                <w:color w:val="auto"/>
                <w:sz w:val="28"/>
                <w:szCs w:val="28"/>
              </w:rPr>
            </w:pPr>
            <w:r>
              <w:rPr>
                <w:rFonts w:hint="eastAsia" w:ascii="宋体" w:hAnsi="宋体"/>
                <w:b/>
                <w:bCs/>
                <w:color w:val="auto"/>
                <w:sz w:val="28"/>
                <w:szCs w:val="28"/>
              </w:rPr>
              <w:t>项目名称：2023年度</w:t>
            </w:r>
            <w:r>
              <w:rPr>
                <w:rFonts w:hint="eastAsia" w:ascii="宋体" w:hAnsi="宋体"/>
                <w:b/>
                <w:bCs/>
                <w:color w:val="auto"/>
                <w:sz w:val="28"/>
                <w:szCs w:val="28"/>
                <w:lang w:val="en-US" w:eastAsia="zh-CN"/>
              </w:rPr>
              <w:t>海纳川</w:t>
            </w:r>
            <w:r>
              <w:rPr>
                <w:rFonts w:hint="eastAsia" w:ascii="宋体" w:hAnsi="宋体"/>
                <w:b/>
                <w:bCs/>
                <w:color w:val="auto"/>
                <w:sz w:val="28"/>
                <w:szCs w:val="28"/>
              </w:rPr>
              <w:t>车辆</w:t>
            </w:r>
            <w:r>
              <w:rPr>
                <w:rFonts w:hint="eastAsia" w:ascii="宋体" w:hAnsi="宋体"/>
                <w:b/>
                <w:bCs/>
                <w:color w:val="auto"/>
                <w:sz w:val="28"/>
                <w:szCs w:val="28"/>
                <w:lang w:eastAsia="zh-CN"/>
              </w:rPr>
              <w:t>、</w:t>
            </w:r>
            <w:r>
              <w:rPr>
                <w:rFonts w:hint="eastAsia" w:ascii="宋体" w:hAnsi="宋体"/>
                <w:b/>
                <w:bCs/>
                <w:color w:val="auto"/>
                <w:sz w:val="28"/>
                <w:szCs w:val="28"/>
                <w:lang w:val="en-US" w:eastAsia="zh-CN"/>
              </w:rPr>
              <w:t>道路承运人责任</w:t>
            </w:r>
            <w:r>
              <w:rPr>
                <w:rFonts w:hint="eastAsia" w:ascii="宋体" w:hAnsi="宋体"/>
                <w:b/>
                <w:bCs/>
                <w:color w:val="auto"/>
                <w:sz w:val="28"/>
                <w:szCs w:val="28"/>
              </w:rPr>
              <w:t xml:space="preserve">保险招标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1952" w:type="dxa"/>
            <w:vMerge w:val="restart"/>
            <w:noWrap w:val="0"/>
            <w:vAlign w:val="center"/>
          </w:tcPr>
          <w:p>
            <w:pPr>
              <w:pStyle w:val="8"/>
              <w:tabs>
                <w:tab w:val="left" w:pos="2977"/>
                <w:tab w:val="left" w:pos="3119"/>
                <w:tab w:val="left" w:pos="8789"/>
              </w:tabs>
              <w:spacing w:after="240" w:line="1680" w:lineRule="auto"/>
              <w:ind w:right="512" w:rightChars="244" w:firstLine="105" w:firstLineChars="50"/>
              <w:jc w:val="center"/>
              <w:rPr>
                <w:rFonts w:ascii="宋体" w:hAnsi="宋体"/>
                <w:color w:val="auto"/>
                <w:sz w:val="21"/>
                <w:szCs w:val="21"/>
              </w:rPr>
            </w:pPr>
            <w:r>
              <w:rPr>
                <w:rFonts w:hint="eastAsia" w:ascii="宋体" w:hAnsi="宋体"/>
                <w:color w:val="auto"/>
                <w:sz w:val="21"/>
                <w:szCs w:val="21"/>
              </w:rPr>
              <w:t>评分项</w:t>
            </w:r>
          </w:p>
        </w:tc>
        <w:tc>
          <w:tcPr>
            <w:tcW w:w="2687" w:type="dxa"/>
            <w:noWrap w:val="0"/>
            <w:vAlign w:val="center"/>
          </w:tcPr>
          <w:p>
            <w:pPr>
              <w:pStyle w:val="8"/>
              <w:tabs>
                <w:tab w:val="left" w:pos="2977"/>
                <w:tab w:val="left" w:pos="3119"/>
                <w:tab w:val="left" w:pos="8789"/>
              </w:tabs>
              <w:ind w:right="512" w:rightChars="244" w:firstLine="0" w:firstLineChars="0"/>
              <w:jc w:val="center"/>
              <w:rPr>
                <w:rFonts w:ascii="宋体" w:hAnsi="宋体"/>
                <w:color w:val="auto"/>
                <w:sz w:val="21"/>
                <w:szCs w:val="21"/>
              </w:rPr>
            </w:pPr>
            <w:r>
              <w:rPr>
                <w:rFonts w:hint="eastAsia" w:ascii="宋体" w:hAnsi="宋体"/>
                <w:color w:val="auto"/>
                <w:sz w:val="21"/>
                <w:szCs w:val="21"/>
              </w:rPr>
              <w:t>资质</w:t>
            </w:r>
          </w:p>
        </w:tc>
        <w:tc>
          <w:tcPr>
            <w:tcW w:w="2292" w:type="dxa"/>
            <w:noWrap w:val="0"/>
            <w:vAlign w:val="center"/>
          </w:tcPr>
          <w:p>
            <w:pPr>
              <w:pStyle w:val="8"/>
              <w:tabs>
                <w:tab w:val="left" w:pos="2977"/>
                <w:tab w:val="left" w:pos="3119"/>
                <w:tab w:val="left" w:pos="8789"/>
              </w:tabs>
              <w:ind w:right="512" w:rightChars="244" w:firstLine="420"/>
              <w:jc w:val="center"/>
              <w:rPr>
                <w:rFonts w:ascii="宋体" w:hAnsi="宋体"/>
                <w:color w:val="auto"/>
                <w:sz w:val="21"/>
                <w:szCs w:val="21"/>
              </w:rPr>
            </w:pPr>
            <w:r>
              <w:rPr>
                <w:rFonts w:hint="eastAsia" w:ascii="宋体" w:hAnsi="宋体"/>
                <w:color w:val="auto"/>
                <w:sz w:val="21"/>
                <w:szCs w:val="21"/>
              </w:rPr>
              <w:t>20</w:t>
            </w:r>
          </w:p>
        </w:tc>
        <w:tc>
          <w:tcPr>
            <w:tcW w:w="3751" w:type="dxa"/>
            <w:noWrap w:val="0"/>
            <w:vAlign w:val="center"/>
          </w:tcPr>
          <w:p>
            <w:pPr>
              <w:pStyle w:val="8"/>
              <w:tabs>
                <w:tab w:val="left" w:pos="2977"/>
                <w:tab w:val="left" w:pos="3119"/>
                <w:tab w:val="left" w:pos="8789"/>
              </w:tabs>
              <w:ind w:right="512" w:rightChars="244" w:firstLine="420"/>
              <w:jc w:val="cente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1952" w:type="dxa"/>
            <w:vMerge w:val="continue"/>
            <w:noWrap w:val="0"/>
            <w:vAlign w:val="center"/>
          </w:tcPr>
          <w:p>
            <w:pPr>
              <w:pStyle w:val="8"/>
              <w:tabs>
                <w:tab w:val="left" w:pos="2977"/>
                <w:tab w:val="left" w:pos="3119"/>
                <w:tab w:val="left" w:pos="8789"/>
              </w:tabs>
              <w:ind w:right="512" w:rightChars="244" w:firstLine="420"/>
              <w:jc w:val="center"/>
              <w:rPr>
                <w:rFonts w:ascii="宋体" w:hAnsi="宋体"/>
                <w:color w:val="auto"/>
                <w:sz w:val="21"/>
                <w:szCs w:val="21"/>
              </w:rPr>
            </w:pPr>
          </w:p>
        </w:tc>
        <w:tc>
          <w:tcPr>
            <w:tcW w:w="2687" w:type="dxa"/>
            <w:noWrap w:val="0"/>
            <w:vAlign w:val="center"/>
          </w:tcPr>
          <w:p>
            <w:pPr>
              <w:pStyle w:val="8"/>
              <w:tabs>
                <w:tab w:val="left" w:pos="2977"/>
                <w:tab w:val="left" w:pos="3119"/>
                <w:tab w:val="left" w:pos="8789"/>
              </w:tabs>
              <w:ind w:left="840" w:right="512" w:rightChars="244" w:hanging="840" w:hangingChars="400"/>
              <w:jc w:val="center"/>
              <w:rPr>
                <w:rFonts w:ascii="宋体" w:hAnsi="宋体"/>
                <w:color w:val="auto"/>
                <w:sz w:val="21"/>
                <w:szCs w:val="21"/>
              </w:rPr>
            </w:pPr>
            <w:r>
              <w:rPr>
                <w:rFonts w:hint="eastAsia" w:ascii="宋体" w:hAnsi="宋体"/>
                <w:color w:val="auto"/>
                <w:sz w:val="21"/>
                <w:szCs w:val="21"/>
              </w:rPr>
              <w:t>服务质量</w:t>
            </w:r>
          </w:p>
        </w:tc>
        <w:tc>
          <w:tcPr>
            <w:tcW w:w="2292" w:type="dxa"/>
            <w:noWrap w:val="0"/>
            <w:vAlign w:val="center"/>
          </w:tcPr>
          <w:p>
            <w:pPr>
              <w:pStyle w:val="8"/>
              <w:tabs>
                <w:tab w:val="left" w:pos="2977"/>
                <w:tab w:val="left" w:pos="3119"/>
                <w:tab w:val="left" w:pos="8789"/>
              </w:tabs>
              <w:ind w:right="512" w:rightChars="244" w:firstLine="420"/>
              <w:jc w:val="center"/>
              <w:rPr>
                <w:rFonts w:ascii="宋体" w:hAnsi="宋体"/>
                <w:color w:val="auto"/>
                <w:sz w:val="21"/>
                <w:szCs w:val="21"/>
              </w:rPr>
            </w:pPr>
            <w:r>
              <w:rPr>
                <w:rFonts w:hint="eastAsia" w:ascii="宋体" w:hAnsi="宋体"/>
                <w:color w:val="auto"/>
                <w:sz w:val="21"/>
                <w:szCs w:val="21"/>
              </w:rPr>
              <w:t>20</w:t>
            </w:r>
          </w:p>
        </w:tc>
        <w:tc>
          <w:tcPr>
            <w:tcW w:w="3751" w:type="dxa"/>
            <w:noWrap w:val="0"/>
            <w:vAlign w:val="center"/>
          </w:tcPr>
          <w:p>
            <w:pPr>
              <w:pStyle w:val="8"/>
              <w:tabs>
                <w:tab w:val="left" w:pos="2977"/>
                <w:tab w:val="left" w:pos="3119"/>
                <w:tab w:val="left" w:pos="8789"/>
              </w:tabs>
              <w:ind w:right="512" w:rightChars="244" w:firstLine="420"/>
              <w:jc w:val="cente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1952" w:type="dxa"/>
            <w:vMerge w:val="continue"/>
            <w:noWrap w:val="0"/>
            <w:vAlign w:val="center"/>
          </w:tcPr>
          <w:p>
            <w:pPr>
              <w:pStyle w:val="8"/>
              <w:tabs>
                <w:tab w:val="left" w:pos="2977"/>
                <w:tab w:val="left" w:pos="3119"/>
                <w:tab w:val="left" w:pos="8789"/>
              </w:tabs>
              <w:ind w:right="512" w:rightChars="244" w:firstLine="420"/>
              <w:jc w:val="center"/>
              <w:rPr>
                <w:rFonts w:ascii="宋体" w:hAnsi="宋体"/>
                <w:color w:val="auto"/>
                <w:sz w:val="21"/>
                <w:szCs w:val="21"/>
              </w:rPr>
            </w:pPr>
          </w:p>
        </w:tc>
        <w:tc>
          <w:tcPr>
            <w:tcW w:w="2687" w:type="dxa"/>
            <w:noWrap w:val="0"/>
            <w:vAlign w:val="center"/>
          </w:tcPr>
          <w:p>
            <w:pPr>
              <w:pStyle w:val="8"/>
              <w:tabs>
                <w:tab w:val="left" w:pos="2977"/>
                <w:tab w:val="left" w:pos="3119"/>
                <w:tab w:val="left" w:pos="8789"/>
              </w:tabs>
              <w:ind w:right="512" w:rightChars="244" w:firstLine="0" w:firstLineChars="0"/>
              <w:jc w:val="center"/>
              <w:rPr>
                <w:rFonts w:ascii="宋体" w:hAnsi="宋体"/>
                <w:color w:val="auto"/>
                <w:sz w:val="21"/>
                <w:szCs w:val="21"/>
              </w:rPr>
            </w:pPr>
            <w:r>
              <w:rPr>
                <w:rFonts w:hint="eastAsia" w:ascii="宋体" w:hAnsi="宋体"/>
                <w:color w:val="auto"/>
                <w:sz w:val="21"/>
                <w:szCs w:val="21"/>
              </w:rPr>
              <w:t>荣誉</w:t>
            </w:r>
          </w:p>
        </w:tc>
        <w:tc>
          <w:tcPr>
            <w:tcW w:w="2292" w:type="dxa"/>
            <w:noWrap w:val="0"/>
            <w:vAlign w:val="center"/>
          </w:tcPr>
          <w:p>
            <w:pPr>
              <w:pStyle w:val="8"/>
              <w:tabs>
                <w:tab w:val="left" w:pos="2977"/>
                <w:tab w:val="left" w:pos="3119"/>
                <w:tab w:val="left" w:pos="8789"/>
              </w:tabs>
              <w:ind w:right="512" w:rightChars="244" w:firstLine="420"/>
              <w:jc w:val="center"/>
              <w:rPr>
                <w:rFonts w:ascii="宋体" w:hAnsi="宋体"/>
                <w:color w:val="auto"/>
                <w:sz w:val="21"/>
                <w:szCs w:val="21"/>
              </w:rPr>
            </w:pPr>
            <w:r>
              <w:rPr>
                <w:rFonts w:hint="eastAsia" w:ascii="宋体" w:hAnsi="宋体"/>
                <w:color w:val="auto"/>
                <w:sz w:val="21"/>
                <w:szCs w:val="21"/>
              </w:rPr>
              <w:t>15</w:t>
            </w:r>
          </w:p>
        </w:tc>
        <w:tc>
          <w:tcPr>
            <w:tcW w:w="3751" w:type="dxa"/>
            <w:noWrap w:val="0"/>
            <w:vAlign w:val="center"/>
          </w:tcPr>
          <w:p>
            <w:pPr>
              <w:pStyle w:val="8"/>
              <w:tabs>
                <w:tab w:val="left" w:pos="2977"/>
                <w:tab w:val="left" w:pos="3119"/>
                <w:tab w:val="left" w:pos="8789"/>
              </w:tabs>
              <w:ind w:right="512" w:rightChars="244" w:firstLine="420"/>
              <w:jc w:val="cente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trPr>
        <w:tc>
          <w:tcPr>
            <w:tcW w:w="1952" w:type="dxa"/>
            <w:vMerge w:val="continue"/>
            <w:noWrap w:val="0"/>
            <w:vAlign w:val="center"/>
          </w:tcPr>
          <w:p>
            <w:pPr>
              <w:pStyle w:val="8"/>
              <w:tabs>
                <w:tab w:val="left" w:pos="2977"/>
                <w:tab w:val="left" w:pos="3119"/>
                <w:tab w:val="left" w:pos="8789"/>
              </w:tabs>
              <w:ind w:right="512" w:rightChars="244" w:firstLine="420"/>
              <w:jc w:val="center"/>
              <w:rPr>
                <w:rFonts w:hint="eastAsia" w:ascii="宋体" w:hAnsi="宋体"/>
                <w:color w:val="auto"/>
                <w:sz w:val="21"/>
                <w:szCs w:val="21"/>
              </w:rPr>
            </w:pPr>
          </w:p>
        </w:tc>
        <w:tc>
          <w:tcPr>
            <w:tcW w:w="2687" w:type="dxa"/>
            <w:noWrap w:val="0"/>
            <w:vAlign w:val="center"/>
          </w:tcPr>
          <w:p>
            <w:pPr>
              <w:pStyle w:val="8"/>
              <w:tabs>
                <w:tab w:val="left" w:pos="2977"/>
                <w:tab w:val="left" w:pos="3119"/>
                <w:tab w:val="left" w:pos="8789"/>
              </w:tabs>
              <w:ind w:right="512" w:rightChars="244" w:firstLine="0" w:firstLineChars="0"/>
              <w:jc w:val="center"/>
              <w:rPr>
                <w:rFonts w:hint="eastAsia" w:ascii="宋体" w:hAnsi="宋体"/>
                <w:color w:val="auto"/>
                <w:sz w:val="21"/>
                <w:szCs w:val="21"/>
              </w:rPr>
            </w:pPr>
            <w:r>
              <w:rPr>
                <w:rFonts w:hAnsi="黑体"/>
                <w:color w:val="auto"/>
                <w:sz w:val="21"/>
                <w:szCs w:val="21"/>
              </w:rPr>
              <w:t>综合偿付能力充足率</w:t>
            </w:r>
          </w:p>
        </w:tc>
        <w:tc>
          <w:tcPr>
            <w:tcW w:w="2292" w:type="dxa"/>
            <w:noWrap w:val="0"/>
            <w:vAlign w:val="center"/>
          </w:tcPr>
          <w:p>
            <w:pPr>
              <w:pStyle w:val="8"/>
              <w:tabs>
                <w:tab w:val="left" w:pos="2977"/>
                <w:tab w:val="left" w:pos="3119"/>
                <w:tab w:val="left" w:pos="8789"/>
              </w:tabs>
              <w:ind w:right="512" w:rightChars="244" w:firstLine="420"/>
              <w:jc w:val="center"/>
              <w:rPr>
                <w:rFonts w:ascii="宋体" w:hAnsi="宋体"/>
                <w:color w:val="auto"/>
                <w:sz w:val="21"/>
                <w:szCs w:val="21"/>
              </w:rPr>
            </w:pPr>
            <w:r>
              <w:rPr>
                <w:rFonts w:hint="eastAsia" w:ascii="宋体" w:hAnsi="宋体"/>
                <w:color w:val="auto"/>
                <w:sz w:val="21"/>
                <w:szCs w:val="21"/>
              </w:rPr>
              <w:t>15</w:t>
            </w:r>
          </w:p>
        </w:tc>
        <w:tc>
          <w:tcPr>
            <w:tcW w:w="3751" w:type="dxa"/>
            <w:noWrap w:val="0"/>
            <w:vAlign w:val="center"/>
          </w:tcPr>
          <w:p>
            <w:pPr>
              <w:pStyle w:val="8"/>
              <w:tabs>
                <w:tab w:val="left" w:pos="2977"/>
                <w:tab w:val="left" w:pos="3119"/>
                <w:tab w:val="left" w:pos="8789"/>
              </w:tabs>
              <w:ind w:right="512" w:rightChars="244" w:firstLine="420"/>
              <w:jc w:val="center"/>
              <w:rPr>
                <w:rFonts w:hint="eastAsia"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952" w:type="dxa"/>
            <w:vMerge w:val="continue"/>
            <w:noWrap w:val="0"/>
            <w:vAlign w:val="center"/>
          </w:tcPr>
          <w:p>
            <w:pPr>
              <w:pStyle w:val="8"/>
              <w:tabs>
                <w:tab w:val="left" w:pos="2977"/>
                <w:tab w:val="left" w:pos="3119"/>
                <w:tab w:val="left" w:pos="8789"/>
              </w:tabs>
              <w:ind w:right="512" w:rightChars="244" w:firstLine="420"/>
              <w:jc w:val="center"/>
              <w:rPr>
                <w:rFonts w:hint="eastAsia" w:ascii="宋体" w:hAnsi="宋体"/>
                <w:color w:val="auto"/>
                <w:sz w:val="21"/>
                <w:szCs w:val="21"/>
              </w:rPr>
            </w:pPr>
          </w:p>
        </w:tc>
        <w:tc>
          <w:tcPr>
            <w:tcW w:w="2687" w:type="dxa"/>
            <w:noWrap w:val="0"/>
            <w:vAlign w:val="center"/>
          </w:tcPr>
          <w:p>
            <w:pPr>
              <w:pStyle w:val="8"/>
              <w:tabs>
                <w:tab w:val="left" w:pos="2977"/>
                <w:tab w:val="left" w:pos="3119"/>
                <w:tab w:val="left" w:pos="8789"/>
              </w:tabs>
              <w:ind w:right="512" w:rightChars="244" w:firstLine="0" w:firstLineChars="0"/>
              <w:jc w:val="center"/>
              <w:rPr>
                <w:rFonts w:hint="eastAsia" w:ascii="宋体" w:hAnsi="宋体"/>
                <w:color w:val="auto"/>
                <w:sz w:val="21"/>
                <w:szCs w:val="21"/>
              </w:rPr>
            </w:pPr>
            <w:r>
              <w:rPr>
                <w:rFonts w:hint="eastAsia" w:hAnsi="黑体"/>
                <w:color w:val="auto"/>
                <w:sz w:val="21"/>
                <w:szCs w:val="21"/>
              </w:rPr>
              <w:t>业务能力</w:t>
            </w:r>
          </w:p>
        </w:tc>
        <w:tc>
          <w:tcPr>
            <w:tcW w:w="2292" w:type="dxa"/>
            <w:noWrap w:val="0"/>
            <w:vAlign w:val="center"/>
          </w:tcPr>
          <w:p>
            <w:pPr>
              <w:pStyle w:val="8"/>
              <w:tabs>
                <w:tab w:val="left" w:pos="2977"/>
                <w:tab w:val="left" w:pos="3119"/>
                <w:tab w:val="left" w:pos="8789"/>
              </w:tabs>
              <w:ind w:right="512" w:rightChars="244" w:firstLine="420"/>
              <w:jc w:val="center"/>
              <w:rPr>
                <w:rFonts w:ascii="宋体" w:hAnsi="宋体"/>
                <w:color w:val="auto"/>
                <w:sz w:val="21"/>
                <w:szCs w:val="21"/>
              </w:rPr>
            </w:pPr>
            <w:r>
              <w:rPr>
                <w:rFonts w:hint="eastAsia" w:ascii="宋体" w:hAnsi="宋体"/>
                <w:color w:val="auto"/>
                <w:sz w:val="21"/>
                <w:szCs w:val="21"/>
              </w:rPr>
              <w:t>30</w:t>
            </w:r>
          </w:p>
        </w:tc>
        <w:tc>
          <w:tcPr>
            <w:tcW w:w="3751" w:type="dxa"/>
            <w:noWrap w:val="0"/>
            <w:vAlign w:val="center"/>
          </w:tcPr>
          <w:p>
            <w:pPr>
              <w:pStyle w:val="8"/>
              <w:tabs>
                <w:tab w:val="left" w:pos="2977"/>
                <w:tab w:val="left" w:pos="3119"/>
                <w:tab w:val="left" w:pos="8789"/>
              </w:tabs>
              <w:ind w:right="512" w:rightChars="244" w:firstLine="420"/>
              <w:jc w:val="center"/>
              <w:rPr>
                <w:rFonts w:hint="eastAsia"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4639" w:type="dxa"/>
            <w:gridSpan w:val="2"/>
            <w:noWrap w:val="0"/>
            <w:vAlign w:val="center"/>
          </w:tcPr>
          <w:p>
            <w:pPr>
              <w:pStyle w:val="8"/>
              <w:tabs>
                <w:tab w:val="left" w:pos="2977"/>
                <w:tab w:val="left" w:pos="3119"/>
                <w:tab w:val="left" w:pos="8789"/>
              </w:tabs>
              <w:ind w:right="512" w:rightChars="244" w:firstLine="420"/>
              <w:jc w:val="center"/>
              <w:rPr>
                <w:rFonts w:ascii="宋体" w:hAnsi="宋体"/>
                <w:color w:val="auto"/>
                <w:sz w:val="21"/>
                <w:szCs w:val="21"/>
              </w:rPr>
            </w:pPr>
            <w:r>
              <w:rPr>
                <w:rFonts w:hint="eastAsia" w:ascii="宋体" w:hAnsi="宋体"/>
                <w:color w:val="auto"/>
                <w:sz w:val="21"/>
                <w:szCs w:val="21"/>
              </w:rPr>
              <w:t>综合评分</w:t>
            </w:r>
          </w:p>
        </w:tc>
        <w:tc>
          <w:tcPr>
            <w:tcW w:w="2292" w:type="dxa"/>
            <w:noWrap w:val="0"/>
            <w:vAlign w:val="center"/>
          </w:tcPr>
          <w:p>
            <w:pPr>
              <w:pStyle w:val="8"/>
              <w:tabs>
                <w:tab w:val="left" w:pos="2977"/>
                <w:tab w:val="left" w:pos="3119"/>
                <w:tab w:val="left" w:pos="8789"/>
              </w:tabs>
              <w:ind w:right="512" w:rightChars="244" w:firstLine="420"/>
              <w:jc w:val="center"/>
              <w:rPr>
                <w:rFonts w:ascii="宋体" w:hAnsi="宋体"/>
                <w:color w:val="auto"/>
                <w:sz w:val="21"/>
                <w:szCs w:val="21"/>
              </w:rPr>
            </w:pPr>
            <w:r>
              <w:rPr>
                <w:rFonts w:hint="eastAsia" w:ascii="宋体" w:hAnsi="宋体"/>
                <w:color w:val="auto"/>
                <w:sz w:val="21"/>
                <w:szCs w:val="21"/>
              </w:rPr>
              <w:t>100</w:t>
            </w:r>
          </w:p>
        </w:tc>
        <w:tc>
          <w:tcPr>
            <w:tcW w:w="3751" w:type="dxa"/>
            <w:noWrap w:val="0"/>
            <w:vAlign w:val="center"/>
          </w:tcPr>
          <w:p>
            <w:pPr>
              <w:pStyle w:val="8"/>
              <w:tabs>
                <w:tab w:val="left" w:pos="2977"/>
                <w:tab w:val="left" w:pos="3119"/>
                <w:tab w:val="left" w:pos="8789"/>
              </w:tabs>
              <w:ind w:right="512" w:rightChars="244" w:firstLine="420"/>
              <w:jc w:val="cente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0682" w:type="dxa"/>
            <w:gridSpan w:val="4"/>
            <w:noWrap w:val="0"/>
            <w:vAlign w:val="top"/>
          </w:tcPr>
          <w:p>
            <w:pPr>
              <w:pStyle w:val="8"/>
              <w:tabs>
                <w:tab w:val="left" w:pos="2977"/>
                <w:tab w:val="left" w:pos="3119"/>
                <w:tab w:val="left" w:pos="8789"/>
              </w:tabs>
              <w:ind w:right="512" w:rightChars="244" w:firstLine="0" w:firstLineChars="0"/>
              <w:jc w:val="left"/>
              <w:rPr>
                <w:rFonts w:hint="eastAsia" w:ascii="宋体" w:hAnsi="宋体"/>
                <w:sz w:val="21"/>
                <w:szCs w:val="21"/>
              </w:rPr>
            </w:pPr>
            <w:r>
              <w:rPr>
                <w:rFonts w:hint="eastAsia" w:ascii="宋体" w:hAnsi="宋体"/>
                <w:sz w:val="21"/>
                <w:szCs w:val="21"/>
              </w:rPr>
              <w:t>注：1、资质（20分）：主要参考投标人的注册资金[100亿（含）以上才得20分，50亿（含）-100亿得15分，50亿（含）以下的不得分]。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10682" w:type="dxa"/>
            <w:gridSpan w:val="4"/>
            <w:noWrap w:val="0"/>
            <w:vAlign w:val="top"/>
          </w:tcPr>
          <w:p>
            <w:pPr>
              <w:pStyle w:val="8"/>
              <w:tabs>
                <w:tab w:val="left" w:pos="2977"/>
                <w:tab w:val="left" w:pos="3119"/>
                <w:tab w:val="left" w:pos="8789"/>
              </w:tabs>
              <w:ind w:right="512" w:rightChars="244" w:firstLine="420"/>
              <w:jc w:val="left"/>
              <w:rPr>
                <w:rFonts w:hAnsi="黑体"/>
                <w:color w:val="auto"/>
                <w:sz w:val="21"/>
                <w:szCs w:val="21"/>
              </w:rPr>
            </w:pPr>
            <w:r>
              <w:rPr>
                <w:rFonts w:hint="eastAsia" w:hAnsi="黑体"/>
                <w:color w:val="auto"/>
                <w:sz w:val="21"/>
                <w:szCs w:val="21"/>
              </w:rPr>
              <w:t>2、服务质量（20分）</w:t>
            </w:r>
            <w:r>
              <w:rPr>
                <w:rFonts w:hint="eastAsia" w:ascii="宋体" w:hAnsi="宋体"/>
                <w:color w:val="auto"/>
                <w:sz w:val="21"/>
                <w:szCs w:val="21"/>
              </w:rPr>
              <w:t>：根据中国银保信发布的“2022年度保险服务质量指数结果”，指数结果90（含）-100得20分，指数结果80（含）-90得10分，指数结果80（含）-70得5分，其余不得分。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10682" w:type="dxa"/>
            <w:gridSpan w:val="4"/>
            <w:noWrap w:val="0"/>
            <w:vAlign w:val="top"/>
          </w:tcPr>
          <w:p>
            <w:pPr>
              <w:pStyle w:val="8"/>
              <w:tabs>
                <w:tab w:val="left" w:pos="2977"/>
                <w:tab w:val="left" w:pos="3119"/>
                <w:tab w:val="left" w:pos="8789"/>
              </w:tabs>
              <w:ind w:right="512" w:rightChars="244" w:firstLine="420"/>
              <w:jc w:val="left"/>
              <w:rPr>
                <w:rFonts w:hAnsi="黑体"/>
                <w:color w:val="auto"/>
                <w:sz w:val="21"/>
                <w:szCs w:val="21"/>
              </w:rPr>
            </w:pPr>
            <w:r>
              <w:rPr>
                <w:rFonts w:hint="eastAsia" w:hAnsi="黑体"/>
                <w:color w:val="auto"/>
                <w:sz w:val="21"/>
                <w:szCs w:val="21"/>
              </w:rPr>
              <w:t>3、荣誉（15分）：根据投标人提供近三年获得荣誉（奖项、合作）的相关材料，其中，国家级每项得3分，省级每项得2分，</w:t>
            </w:r>
            <w:r>
              <w:rPr>
                <w:rFonts w:hint="eastAsia" w:ascii="宋体" w:hAnsi="宋体"/>
                <w:color w:val="auto"/>
                <w:sz w:val="21"/>
                <w:szCs w:val="21"/>
              </w:rPr>
              <w:t>其余不得分。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10682" w:type="dxa"/>
            <w:gridSpan w:val="4"/>
            <w:noWrap w:val="0"/>
            <w:vAlign w:val="top"/>
          </w:tcPr>
          <w:p>
            <w:pPr>
              <w:pStyle w:val="8"/>
              <w:tabs>
                <w:tab w:val="left" w:pos="2977"/>
                <w:tab w:val="left" w:pos="3119"/>
                <w:tab w:val="left" w:pos="8789"/>
              </w:tabs>
              <w:ind w:right="512" w:rightChars="244" w:firstLine="420"/>
              <w:jc w:val="left"/>
              <w:rPr>
                <w:rFonts w:hint="eastAsia" w:hAnsi="黑体"/>
                <w:color w:val="auto"/>
                <w:sz w:val="21"/>
                <w:szCs w:val="21"/>
              </w:rPr>
            </w:pPr>
            <w:r>
              <w:rPr>
                <w:rFonts w:hint="eastAsia" w:hAnsi="黑体"/>
                <w:color w:val="auto"/>
                <w:sz w:val="21"/>
                <w:szCs w:val="21"/>
              </w:rPr>
              <w:t>4、偿付能力充足率（15分）：参考投标人提供的2022</w:t>
            </w:r>
            <w:r>
              <w:rPr>
                <w:rFonts w:hAnsi="黑体"/>
                <w:color w:val="auto"/>
                <w:sz w:val="21"/>
                <w:szCs w:val="21"/>
              </w:rPr>
              <w:t>年年度综合偿付能力充足率数据</w:t>
            </w:r>
            <w:r>
              <w:rPr>
                <w:rFonts w:hint="eastAsia" w:hAnsi="黑体"/>
                <w:color w:val="auto"/>
                <w:sz w:val="21"/>
                <w:szCs w:val="21"/>
              </w:rPr>
              <w:t>，达到200%及以上的得15分，100%（含）-200%的得10分，低于100%的不得分。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0682" w:type="dxa"/>
            <w:gridSpan w:val="4"/>
            <w:noWrap w:val="0"/>
            <w:vAlign w:val="top"/>
          </w:tcPr>
          <w:p>
            <w:pPr>
              <w:tabs>
                <w:tab w:val="left" w:pos="0"/>
                <w:tab w:val="left" w:pos="1134"/>
              </w:tabs>
              <w:adjustRightInd w:val="0"/>
              <w:snapToGrid w:val="0"/>
              <w:spacing w:line="360" w:lineRule="auto"/>
              <w:ind w:firstLine="420" w:firstLineChars="200"/>
              <w:rPr>
                <w:rFonts w:hint="eastAsia" w:ascii="黑体" w:hAnsi="黑体" w:eastAsia="黑体" w:cs="宋体"/>
                <w:color w:val="auto"/>
                <w:szCs w:val="21"/>
              </w:rPr>
            </w:pPr>
            <w:r>
              <w:rPr>
                <w:rFonts w:hint="eastAsia" w:ascii="黑体" w:hAnsi="黑体" w:eastAsia="黑体"/>
                <w:color w:val="auto"/>
                <w:szCs w:val="21"/>
              </w:rPr>
              <w:t>5、业务能力（30）：</w:t>
            </w:r>
            <w:r>
              <w:rPr>
                <w:rFonts w:hint="eastAsia" w:ascii="黑体" w:hAnsi="黑体" w:eastAsia="黑体" w:cs="宋体"/>
                <w:color w:val="auto"/>
                <w:szCs w:val="21"/>
              </w:rPr>
              <w:t xml:space="preserve">投标人车险销售人员、理赔人员中，每有1人具有金融、保险、车辆及医学等专业具有本科及以上学历的得1分，满分10分（须提供近三个月社会保险缴纳证明）。类似项目承保经验，有承保类似20台以上车辆保险项目经验有一例得2分，满分20分。  </w:t>
            </w:r>
          </w:p>
          <w:p>
            <w:pPr>
              <w:tabs>
                <w:tab w:val="left" w:pos="0"/>
                <w:tab w:val="left" w:pos="1134"/>
              </w:tabs>
              <w:adjustRightInd w:val="0"/>
              <w:snapToGrid w:val="0"/>
              <w:spacing w:line="360" w:lineRule="auto"/>
              <w:ind w:firstLine="420" w:firstLineChars="200"/>
              <w:rPr>
                <w:rFonts w:hint="eastAsia" w:hAnsi="黑体"/>
                <w:color w:val="auto"/>
                <w:szCs w:val="21"/>
              </w:rPr>
            </w:pPr>
            <w:r>
              <w:rPr>
                <w:rFonts w:hint="eastAsia" w:ascii="黑体" w:hAnsi="黑体" w:eastAsia="黑体" w:cs="宋体"/>
                <w:color w:val="auto"/>
                <w:szCs w:val="21"/>
              </w:rPr>
              <w:t>注：本项须填写《服务团队成员基本情况汇总表》。</w:t>
            </w:r>
          </w:p>
        </w:tc>
      </w:tr>
    </w:tbl>
    <w:p>
      <w:pPr>
        <w:pStyle w:val="8"/>
        <w:spacing w:line="500" w:lineRule="exact"/>
        <w:ind w:firstLine="560"/>
        <w:jc w:val="both"/>
        <w:rPr>
          <w:rFonts w:hint="eastAsia" w:ascii="方正仿宋简体" w:hAnsi="方正仿宋简体" w:eastAsia="方正仿宋简体" w:cs="方正仿宋简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val="en-US" w:eastAsia="zh-CN"/>
        </w:rPr>
        <w:t>（三）</w:t>
      </w:r>
      <w:r>
        <w:rPr>
          <w:rFonts w:hint="eastAsia" w:ascii="方正楷体_GBK" w:hAnsi="方正楷体_GBK" w:eastAsia="方正楷体_GBK" w:cs="方正楷体_GBK"/>
          <w:sz w:val="32"/>
          <w:szCs w:val="32"/>
          <w:highlight w:val="none"/>
          <w:lang w:eastAsia="zh-CN"/>
        </w:rPr>
        <w:t>投标文件格式要求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投标文件需提交以下材料，并按照招标须知第四条要求装订成册：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1.</w:t>
      </w:r>
      <w:r>
        <w:rPr>
          <w:rFonts w:hint="eastAsia" w:ascii="方正仿宋简体" w:hAnsi="方正仿宋简体" w:eastAsia="方正仿宋简体" w:cs="方正仿宋简体"/>
          <w:sz w:val="32"/>
          <w:szCs w:val="32"/>
          <w:highlight w:val="none"/>
          <w:lang w:val="en-US" w:eastAsia="zh-CN"/>
        </w:rPr>
        <w:t>报价函</w:t>
      </w:r>
      <w:r>
        <w:rPr>
          <w:rFonts w:hint="eastAsia" w:ascii="方正仿宋简体" w:hAnsi="方正仿宋简体" w:eastAsia="方正仿宋简体" w:cs="方正仿宋简体"/>
          <w:sz w:val="32"/>
          <w:szCs w:val="32"/>
          <w:highlight w:val="none"/>
        </w:rPr>
        <w:t>（格式按我公司提供的模板，需加盖公章）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2.营业执照副本（复印件，要求清晰反映企业法人年检情况记录和经营范围）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3.保险业务许可证、资质证书、有关鉴定材料及相关荣誉等（复印件）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sz w:val="32"/>
          <w:szCs w:val="32"/>
          <w:highlight w:val="none"/>
          <w:lang w:val="en-US" w:eastAsia="zh-CN"/>
        </w:rPr>
        <w:t>4</w:t>
      </w:r>
      <w:r>
        <w:rPr>
          <w:rFonts w:hint="eastAsia" w:ascii="方正仿宋简体" w:hAnsi="方正仿宋简体" w:eastAsia="方正仿宋简体" w:cs="方正仿宋简体"/>
          <w:sz w:val="32"/>
          <w:szCs w:val="32"/>
          <w:highlight w:val="none"/>
        </w:rPr>
        <w:t>.投标公司综合情况（</w:t>
      </w:r>
      <w:r>
        <w:rPr>
          <w:rFonts w:hint="eastAsia" w:ascii="方正仿宋简体" w:hAnsi="方正仿宋简体" w:eastAsia="方正仿宋简体" w:cs="方正仿宋简体"/>
          <w:sz w:val="32"/>
          <w:szCs w:val="32"/>
          <w:highlight w:val="none"/>
          <w:lang w:val="en-US" w:eastAsia="zh-CN"/>
        </w:rPr>
        <w:t>服务质量</w:t>
      </w:r>
      <w:r>
        <w:rPr>
          <w:rFonts w:hint="eastAsia" w:ascii="方正仿宋简体" w:hAnsi="方正仿宋简体" w:eastAsia="方正仿宋简体" w:cs="方正仿宋简体"/>
          <w:sz w:val="32"/>
          <w:szCs w:val="32"/>
          <w:highlight w:val="none"/>
        </w:rPr>
        <w:t>、综合偿付能力充足率</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业务能力</w:t>
      </w:r>
      <w:r>
        <w:rPr>
          <w:rFonts w:hint="eastAsia" w:ascii="方正仿宋简体" w:hAnsi="方正仿宋简体" w:eastAsia="方正仿宋简体" w:cs="方正仿宋简体"/>
          <w:color w:val="auto"/>
          <w:sz w:val="32"/>
          <w:szCs w:val="32"/>
          <w:highlight w:val="none"/>
        </w:rPr>
        <w:t>，部分需提供合同原件或扫描件）</w:t>
      </w:r>
    </w:p>
    <w:p>
      <w:pPr>
        <w:pStyle w:val="12"/>
        <w:ind w:left="0" w:leftChars="0" w:firstLine="640" w:firstLineChars="200"/>
        <w:rPr>
          <w:rFonts w:hint="default" w:eastAsia="方正仿宋简体"/>
          <w:color w:val="auto"/>
          <w:lang w:val="en-US" w:eastAsia="zh-CN"/>
        </w:rPr>
      </w:pPr>
      <w:r>
        <w:rPr>
          <w:rFonts w:hint="eastAsia" w:eastAsia="方正仿宋简体"/>
          <w:color w:val="auto"/>
          <w:lang w:val="en-US" w:eastAsia="zh-CN"/>
        </w:rPr>
        <w:t>5.投标公司在承保安排、人员组织、业绩经验、方案设计、经营管理和配套服务等方面需提供相对应的资格和能力保险服务方案。</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四、投标</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简体" w:hAnsi="方正仿宋简体" w:eastAsia="方正仿宋简体" w:cs="方正仿宋简体"/>
          <w:bCs/>
          <w:color w:val="auto"/>
          <w:sz w:val="32"/>
          <w:szCs w:val="32"/>
        </w:rPr>
      </w:pPr>
      <w:r>
        <w:rPr>
          <w:rFonts w:hint="eastAsia" w:ascii="方正楷体_GBK" w:hAnsi="方正楷体_GBK" w:eastAsia="方正楷体_GBK" w:cs="方正楷体_GBK"/>
          <w:bCs/>
          <w:color w:val="auto"/>
          <w:kern w:val="1"/>
          <w:sz w:val="32"/>
          <w:szCs w:val="32"/>
        </w:rPr>
        <w:t>（一）</w:t>
      </w:r>
      <w:r>
        <w:rPr>
          <w:rFonts w:hint="eastAsia" w:ascii="方正仿宋简体" w:hAnsi="方正仿宋简体" w:eastAsia="方正仿宋简体" w:cs="方正仿宋简体"/>
          <w:bCs/>
          <w:color w:val="auto"/>
          <w:kern w:val="1"/>
          <w:sz w:val="32"/>
          <w:szCs w:val="32"/>
        </w:rPr>
        <w:t>报价方式：</w:t>
      </w:r>
      <w:r>
        <w:rPr>
          <w:rFonts w:hint="eastAsia" w:ascii="方正仿宋简体" w:hAnsi="方正仿宋简体" w:eastAsia="方正仿宋简体" w:cs="方正仿宋简体"/>
          <w:bCs/>
          <w:color w:val="auto"/>
          <w:sz w:val="32"/>
          <w:szCs w:val="32"/>
        </w:rPr>
        <w:t>报价为含增值税</w:t>
      </w:r>
      <w:r>
        <w:rPr>
          <w:rFonts w:hint="eastAsia" w:ascii="方正仿宋简体" w:hAnsi="方正仿宋简体" w:eastAsia="方正仿宋简体" w:cs="方正仿宋简体"/>
          <w:bCs/>
          <w:color w:val="auto"/>
          <w:sz w:val="32"/>
          <w:szCs w:val="32"/>
          <w:lang w:val="en-US" w:eastAsia="zh-CN"/>
        </w:rPr>
        <w:t>送到</w:t>
      </w:r>
      <w:r>
        <w:rPr>
          <w:rFonts w:hint="eastAsia" w:ascii="方正仿宋简体" w:hAnsi="方正仿宋简体" w:eastAsia="方正仿宋简体" w:cs="方正仿宋简体"/>
          <w:bCs/>
          <w:color w:val="auto"/>
          <w:sz w:val="32"/>
          <w:szCs w:val="32"/>
        </w:rPr>
        <w:t>价。如国家税率调整，按合同含税价格/（1+合同约定税率）*（1+国家规定的新税率）调整合同价格开具发票；</w:t>
      </w:r>
    </w:p>
    <w:p>
      <w:pPr>
        <w:keepNext w:val="0"/>
        <w:keepLines w:val="0"/>
        <w:pageBreakBefore w:val="0"/>
        <w:widowControl w:val="0"/>
        <w:kinsoku/>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bCs/>
          <w:color w:val="auto"/>
          <w:kern w:val="1"/>
          <w:sz w:val="32"/>
          <w:szCs w:val="32"/>
          <w:lang w:eastAsia="zh-CN"/>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bCs/>
          <w:color w:val="auto"/>
          <w:kern w:val="1"/>
          <w:sz w:val="32"/>
          <w:szCs w:val="32"/>
          <w:u w:val="single"/>
          <w:lang w:val="en-US" w:eastAsia="zh-CN"/>
        </w:rPr>
        <w:t xml:space="preserve"> </w:t>
      </w:r>
      <w:r>
        <w:rPr>
          <w:rFonts w:hint="eastAsia" w:ascii="方正仿宋简体" w:hAnsi="方正仿宋简体" w:eastAsia="方正仿宋简体" w:cs="方正仿宋简体"/>
          <w:sz w:val="32"/>
          <w:szCs w:val="32"/>
          <w:u w:val="single"/>
          <w:lang w:val="en-US" w:eastAsia="zh-CN"/>
        </w:rPr>
        <w:t>一次性网银支付</w:t>
      </w:r>
      <w:r>
        <w:rPr>
          <w:rFonts w:hint="eastAsia" w:ascii="方正仿宋简体" w:hAnsi="方正仿宋简体" w:eastAsia="方正仿宋简体" w:cs="方正仿宋简体"/>
          <w:sz w:val="32"/>
          <w:szCs w:val="32"/>
          <w:u w:val="single"/>
          <w:lang w:eastAsia="zh-CN"/>
        </w:rPr>
        <w:t>，</w:t>
      </w:r>
      <w:r>
        <w:rPr>
          <w:rFonts w:hint="eastAsia" w:ascii="方正仿宋简体" w:hAnsi="方正仿宋简体" w:eastAsia="方正仿宋简体" w:cs="方正仿宋简体"/>
          <w:sz w:val="32"/>
          <w:szCs w:val="32"/>
          <w:u w:val="single"/>
        </w:rPr>
        <w:t>招标方</w:t>
      </w:r>
      <w:r>
        <w:rPr>
          <w:rFonts w:hint="eastAsia" w:ascii="方正仿宋简体" w:hAnsi="方正仿宋简体" w:eastAsia="方正仿宋简体" w:cs="方正仿宋简体"/>
          <w:sz w:val="32"/>
          <w:szCs w:val="32"/>
          <w:u w:val="single"/>
          <w:lang w:val="en-US" w:eastAsia="zh-CN"/>
        </w:rPr>
        <w:t>提前30日内</w:t>
      </w:r>
      <w:r>
        <w:rPr>
          <w:rFonts w:hint="eastAsia" w:ascii="方正仿宋简体" w:hAnsi="方正仿宋简体" w:eastAsia="方正仿宋简体" w:cs="方正仿宋简体"/>
          <w:sz w:val="32"/>
          <w:szCs w:val="32"/>
          <w:u w:val="single"/>
        </w:rPr>
        <w:t>以</w:t>
      </w:r>
      <w:r>
        <w:rPr>
          <w:rFonts w:hint="eastAsia" w:ascii="方正仿宋简体" w:hAnsi="方正仿宋简体" w:eastAsia="方正仿宋简体" w:cs="方正仿宋简体"/>
          <w:sz w:val="32"/>
          <w:szCs w:val="32"/>
          <w:u w:val="single"/>
          <w:lang w:val="en-US" w:eastAsia="zh-CN"/>
        </w:rPr>
        <w:t>网银</w:t>
      </w:r>
      <w:r>
        <w:rPr>
          <w:rFonts w:hint="eastAsia" w:ascii="方正仿宋简体" w:hAnsi="方正仿宋简体" w:eastAsia="方正仿宋简体" w:cs="方正仿宋简体"/>
          <w:sz w:val="32"/>
          <w:szCs w:val="32"/>
          <w:u w:val="single"/>
        </w:rPr>
        <w:t>方式</w:t>
      </w:r>
      <w:r>
        <w:rPr>
          <w:rFonts w:hint="eastAsia" w:ascii="方正仿宋简体" w:hAnsi="方正仿宋简体" w:eastAsia="方正仿宋简体" w:cs="方正仿宋简体"/>
          <w:sz w:val="32"/>
          <w:szCs w:val="32"/>
          <w:u w:val="single"/>
          <w:lang w:val="en-US" w:eastAsia="zh-CN"/>
        </w:rPr>
        <w:t>预付</w:t>
      </w:r>
      <w:r>
        <w:rPr>
          <w:rFonts w:hint="eastAsia" w:ascii="方正仿宋简体" w:hAnsi="方正仿宋简体" w:eastAsia="方正仿宋简体" w:cs="方正仿宋简体"/>
          <w:bCs/>
          <w:color w:val="auto"/>
          <w:kern w:val="1"/>
          <w:sz w:val="32"/>
          <w:szCs w:val="32"/>
          <w:u w:val="single"/>
          <w:lang w:val="en-US" w:eastAsia="zh-CN"/>
        </w:rPr>
        <w:t xml:space="preserve"> </w:t>
      </w:r>
      <w:r>
        <w:rPr>
          <w:rFonts w:hint="eastAsia" w:ascii="方正仿宋简体" w:hAnsi="方正仿宋简体" w:eastAsia="方正仿宋简体" w:cs="方正仿宋简体"/>
          <w:bCs/>
          <w:color w:val="auto"/>
          <w:kern w:val="1"/>
          <w:sz w:val="32"/>
          <w:szCs w:val="32"/>
        </w:rPr>
        <w:t>。</w:t>
      </w:r>
      <w:r>
        <w:rPr>
          <w:rFonts w:hint="eastAsia" w:ascii="方正仿宋简体" w:hAnsi="方正仿宋简体" w:eastAsia="方正仿宋简体" w:cs="方正仿宋简体"/>
          <w:bCs/>
          <w:color w:val="auto"/>
          <w:kern w:val="1"/>
          <w:sz w:val="32"/>
          <w:szCs w:val="32"/>
          <w:lang w:eastAsia="zh-CN"/>
        </w:rPr>
        <w:t>（</w:t>
      </w:r>
      <w:r>
        <w:rPr>
          <w:rFonts w:hint="eastAsia" w:ascii="方正仿宋简体" w:hAnsi="方正仿宋简体" w:eastAsia="方正仿宋简体" w:cs="方正仿宋简体"/>
          <w:bCs/>
          <w:color w:val="auto"/>
          <w:kern w:val="0"/>
          <w:sz w:val="32"/>
          <w:szCs w:val="32"/>
          <w:lang w:val="en-US" w:eastAsia="zh-CN" w:bidi="ar-SA"/>
        </w:rPr>
        <w:t>如投标人不接受招标人提出的付款方式，可在报价书中明确能够接受的付款方式及付款时间，评标时作为参考。报价为含税价，请注明税率。</w:t>
      </w:r>
      <w:r>
        <w:rPr>
          <w:rFonts w:hint="eastAsia" w:ascii="方正仿宋简体" w:hAnsi="方正仿宋简体" w:eastAsia="方正仿宋简体" w:cs="方正仿宋简体"/>
          <w:bCs/>
          <w:color w:val="auto"/>
          <w:kern w:val="1"/>
          <w:sz w:val="32"/>
          <w:szCs w:val="32"/>
          <w:lang w:eastAsia="zh-CN"/>
        </w:rPr>
        <w:t>）</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（三）</w:t>
      </w:r>
      <w:r>
        <w:rPr>
          <w:rFonts w:hint="eastAsia" w:ascii="方正仿宋简体" w:hAnsi="方正仿宋简体" w:eastAsia="方正仿宋简体" w:cs="方正仿宋简体"/>
          <w:bCs/>
          <w:color w:val="auto"/>
          <w:kern w:val="1"/>
          <w:sz w:val="32"/>
          <w:szCs w:val="32"/>
        </w:rPr>
        <w:t>本项目投标</w:t>
      </w:r>
      <w:r>
        <w:rPr>
          <w:rFonts w:hint="eastAsia" w:ascii="方正仿宋简体" w:hAnsi="方正仿宋简体" w:eastAsia="方正仿宋简体" w:cs="方正仿宋简体"/>
          <w:bCs/>
          <w:color w:val="auto"/>
          <w:kern w:val="1"/>
          <w:sz w:val="32"/>
          <w:szCs w:val="32"/>
          <w:highlight w:val="none"/>
          <w:lang w:val="en-US" w:eastAsia="zh-CN"/>
        </w:rPr>
        <w:t>采用</w:t>
      </w:r>
      <w:r>
        <w:rPr>
          <w:rFonts w:hint="eastAsia" w:ascii="方正仿宋简体" w:hAnsi="方正仿宋简体" w:eastAsia="方正仿宋简体" w:cs="方正仿宋简体"/>
          <w:bCs/>
          <w:color w:val="auto"/>
          <w:kern w:val="1"/>
          <w:sz w:val="32"/>
          <w:szCs w:val="32"/>
        </w:rPr>
        <w:t>线下方式进行：</w:t>
      </w:r>
    </w:p>
    <w:p>
      <w:pPr>
        <w:keepNext w:val="0"/>
        <w:keepLines w:val="0"/>
        <w:pageBreakBefore w:val="0"/>
        <w:widowControl w:val="0"/>
        <w:kinsoku/>
        <w:wordWrap w:val="0"/>
        <w:overflowPunct/>
        <w:topLinePunct w:val="0"/>
        <w:autoSpaceDE/>
        <w:autoSpaceDN/>
        <w:bidi w:val="0"/>
        <w:spacing w:line="600" w:lineRule="exact"/>
        <w:ind w:firstLine="640" w:firstLineChars="200"/>
        <w:jc w:val="left"/>
        <w:textAlignment w:val="auto"/>
        <w:rPr>
          <w:rFonts w:hint="eastAsia" w:ascii="方正仿宋简体" w:hAnsi="方正仿宋简体" w:eastAsia="方正仿宋简体" w:cs="方正仿宋简体"/>
          <w:color w:val="auto"/>
          <w:kern w:val="1"/>
          <w:sz w:val="32"/>
          <w:szCs w:val="32"/>
        </w:rPr>
      </w:pPr>
      <w:r>
        <w:rPr>
          <w:rFonts w:hint="eastAsia" w:ascii="方正仿宋简体" w:hAnsi="方正仿宋简体" w:eastAsia="方正仿宋简体" w:cs="方正仿宋简体"/>
          <w:bCs/>
          <w:color w:val="auto"/>
          <w:kern w:val="1"/>
          <w:sz w:val="32"/>
          <w:szCs w:val="32"/>
        </w:rPr>
        <w:t>采用线下投标应</w:t>
      </w:r>
      <w:r>
        <w:rPr>
          <w:rFonts w:hint="eastAsia" w:ascii="方正仿宋简体" w:hAnsi="方正仿宋简体" w:eastAsia="方正仿宋简体" w:cs="方正仿宋简体"/>
          <w:bCs/>
          <w:color w:val="auto"/>
          <w:sz w:val="32"/>
          <w:szCs w:val="32"/>
        </w:rPr>
        <w:t>将报价书及相关资料以标袋形式送达，标袋外包装必须用“封条”密封，封条“格式自定”，另需加盖公章、法人章，填写密封日期；在标袋封面上需注明“投标项目名称，投标方名称、地址、联系人、联系电话”等；</w:t>
      </w:r>
      <w:r>
        <w:rPr>
          <w:rFonts w:hint="eastAsia" w:ascii="方正仿宋简体" w:hAnsi="方正仿宋简体" w:eastAsia="方正仿宋简体" w:cs="方正仿宋简体"/>
          <w:color w:val="auto"/>
          <w:kern w:val="1"/>
          <w:sz w:val="32"/>
          <w:szCs w:val="32"/>
        </w:rPr>
        <w:t>并要求在投标截止日之前送达，逾期将作为作废标处理。</w:t>
      </w:r>
    </w:p>
    <w:p>
      <w:pPr>
        <w:pStyle w:val="2"/>
        <w:keepNext w:val="0"/>
        <w:keepLines w:val="0"/>
        <w:pageBreakBefore w:val="0"/>
        <w:widowControl w:val="0"/>
        <w:kinsoku/>
        <w:overflowPunct/>
        <w:topLinePunct w:val="0"/>
        <w:autoSpaceDE/>
        <w:autoSpaceDN/>
        <w:bidi w:val="0"/>
        <w:spacing w:after="0"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color w:val="auto"/>
          <w:kern w:val="1"/>
          <w:sz w:val="32"/>
          <w:szCs w:val="32"/>
          <w:lang w:val="en-US" w:eastAsia="zh-CN"/>
        </w:rPr>
        <w:t>（四）</w:t>
      </w:r>
      <w:r>
        <w:rPr>
          <w:rFonts w:hint="eastAsia" w:ascii="方正仿宋简体" w:hAnsi="方正仿宋简体" w:eastAsia="方正仿宋简体" w:cs="方正仿宋简体"/>
          <w:color w:val="auto"/>
          <w:kern w:val="1"/>
          <w:sz w:val="32"/>
          <w:szCs w:val="32"/>
          <w:lang w:val="en-US" w:eastAsia="zh-CN"/>
        </w:rPr>
        <w:t>具体报价格式见报价函，报价文件需提供</w:t>
      </w:r>
      <w:r>
        <w:rPr>
          <w:rFonts w:hint="eastAsia" w:ascii="方正仿宋简体" w:hAnsi="方正仿宋简体" w:eastAsia="方正仿宋简体" w:cs="方正仿宋简体"/>
          <w:color w:val="FF0000"/>
          <w:kern w:val="1"/>
          <w:sz w:val="32"/>
          <w:szCs w:val="32"/>
          <w:u w:val="single"/>
          <w:lang w:val="en-US" w:eastAsia="zh-CN"/>
        </w:rPr>
        <w:t>贰</w:t>
      </w:r>
      <w:r>
        <w:rPr>
          <w:rFonts w:hint="eastAsia" w:ascii="方正仿宋简体" w:hAnsi="方正仿宋简体" w:eastAsia="方正仿宋简体" w:cs="方正仿宋简体"/>
          <w:color w:val="auto"/>
          <w:kern w:val="1"/>
          <w:sz w:val="32"/>
          <w:szCs w:val="32"/>
          <w:lang w:val="en-US" w:eastAsia="zh-CN"/>
        </w:rPr>
        <w:t>份；</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w:t>
      </w:r>
      <w:r>
        <w:rPr>
          <w:rFonts w:hint="eastAsia" w:ascii="方正楷体_GBK" w:hAnsi="方正楷体_GBK" w:eastAsia="方正楷体_GBK" w:cs="方正楷体_GBK"/>
          <w:bCs/>
          <w:color w:val="auto"/>
          <w:kern w:val="1"/>
          <w:sz w:val="32"/>
          <w:szCs w:val="32"/>
          <w:lang w:val="en-US" w:eastAsia="zh-CN"/>
        </w:rPr>
        <w:t>五</w:t>
      </w:r>
      <w:r>
        <w:rPr>
          <w:rFonts w:hint="eastAsia" w:ascii="方正楷体_GBK" w:hAnsi="方正楷体_GBK" w:eastAsia="方正楷体_GBK" w:cs="方正楷体_GBK"/>
          <w:bCs/>
          <w:color w:val="auto"/>
          <w:kern w:val="1"/>
          <w:sz w:val="32"/>
          <w:szCs w:val="32"/>
        </w:rPr>
        <w:t>）</w:t>
      </w:r>
      <w:r>
        <w:rPr>
          <w:rFonts w:hint="eastAsia" w:ascii="方正仿宋简体" w:hAnsi="方正仿宋简体" w:eastAsia="方正仿宋简体" w:cs="方正仿宋简体"/>
          <w:bCs/>
          <w:color w:val="auto"/>
          <w:kern w:val="1"/>
          <w:sz w:val="32"/>
          <w:szCs w:val="32"/>
          <w:lang w:val="en-US" w:eastAsia="zh-CN"/>
        </w:rPr>
        <w:t>投标文件请密封邮寄</w:t>
      </w:r>
      <w:r>
        <w:rPr>
          <w:rFonts w:hint="eastAsia" w:ascii="方正仿宋简体" w:hAnsi="方正仿宋简体" w:eastAsia="方正仿宋简体" w:cs="方正仿宋简体"/>
          <w:bCs/>
          <w:color w:val="auto"/>
          <w:kern w:val="1"/>
          <w:sz w:val="32"/>
          <w:szCs w:val="32"/>
        </w:rPr>
        <w:t>：</w:t>
      </w:r>
    </w:p>
    <w:p>
      <w:pPr>
        <w:pStyle w:val="18"/>
        <w:keepNext w:val="0"/>
        <w:keepLines w:val="0"/>
        <w:pageBreakBefore w:val="0"/>
        <w:widowControl w:val="0"/>
        <w:tabs>
          <w:tab w:val="left" w:pos="180"/>
        </w:tabs>
        <w:kinsoku/>
        <w:wordWrap w:val="0"/>
        <w:overflowPunct/>
        <w:topLinePunct w:val="0"/>
        <w:autoSpaceDE/>
        <w:autoSpaceDN/>
        <w:bidi w:val="0"/>
        <w:adjustRightInd w:val="0"/>
        <w:snapToGrid w:val="0"/>
        <w:spacing w:line="600" w:lineRule="exact"/>
        <w:ind w:firstLine="600"/>
        <w:jc w:val="left"/>
        <w:textAlignment w:val="auto"/>
        <w:rPr>
          <w:rFonts w:hint="eastAsia"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公司：镇江海纳川物流产业发展有限责任公司风险控制部</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rPr>
        <w:t>地址：江苏省镇江市京口区求索路</w:t>
      </w:r>
      <w:r>
        <w:rPr>
          <w:rFonts w:hint="eastAsia" w:ascii="方正仿宋简体" w:hAnsi="方正仿宋简体" w:eastAsia="方正仿宋简体" w:cs="方正仿宋简体"/>
          <w:bCs/>
          <w:color w:val="auto"/>
          <w:kern w:val="1"/>
          <w:sz w:val="32"/>
          <w:szCs w:val="32"/>
          <w:lang w:val="en-US" w:eastAsia="zh-CN"/>
        </w:rPr>
        <w:t>66</w:t>
      </w:r>
      <w:r>
        <w:rPr>
          <w:rFonts w:hint="eastAsia" w:ascii="方正仿宋简体" w:hAnsi="方正仿宋简体" w:eastAsia="方正仿宋简体" w:cs="方正仿宋简体"/>
          <w:bCs/>
          <w:color w:val="auto"/>
          <w:kern w:val="1"/>
          <w:sz w:val="32"/>
          <w:szCs w:val="32"/>
        </w:rPr>
        <w:t>号</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rPr>
        <w:t>邮编：212006</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lang w:val="en-US" w:eastAsia="zh-CN"/>
        </w:rPr>
      </w:pPr>
      <w:r>
        <w:rPr>
          <w:rFonts w:hint="eastAsia" w:ascii="方正仿宋简体" w:hAnsi="方正仿宋简体" w:eastAsia="方正仿宋简体" w:cs="方正仿宋简体"/>
          <w:bCs/>
          <w:color w:val="auto"/>
          <w:kern w:val="1"/>
          <w:sz w:val="32"/>
          <w:szCs w:val="32"/>
        </w:rPr>
        <w:t>收件人：</w:t>
      </w:r>
      <w:r>
        <w:rPr>
          <w:rFonts w:hint="eastAsia" w:ascii="方正仿宋简体" w:hAnsi="方正仿宋简体" w:eastAsia="方正仿宋简体" w:cs="方正仿宋简体"/>
          <w:bCs/>
          <w:color w:val="auto"/>
          <w:kern w:val="1"/>
          <w:sz w:val="32"/>
          <w:szCs w:val="32"/>
          <w:lang w:val="en-US" w:eastAsia="zh-CN"/>
        </w:rPr>
        <w:t>邵蕾</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lang w:val="en-US" w:eastAsia="zh-CN"/>
        </w:rPr>
      </w:pPr>
      <w:r>
        <w:rPr>
          <w:rFonts w:hint="eastAsia" w:ascii="方正仿宋简体" w:hAnsi="方正仿宋简体" w:eastAsia="方正仿宋简体" w:cs="方正仿宋简体"/>
          <w:bCs/>
          <w:color w:val="auto"/>
          <w:kern w:val="1"/>
          <w:sz w:val="32"/>
          <w:szCs w:val="32"/>
        </w:rPr>
        <w:t>联系电话：</w:t>
      </w:r>
      <w:r>
        <w:rPr>
          <w:rFonts w:hint="eastAsia" w:ascii="方正仿宋简体" w:hAnsi="方正仿宋简体" w:eastAsia="方正仿宋简体" w:cs="方正仿宋简体"/>
          <w:bCs/>
          <w:color w:val="auto"/>
          <w:kern w:val="1"/>
          <w:sz w:val="32"/>
          <w:szCs w:val="32"/>
          <w:lang w:val="en-US" w:eastAsia="zh-CN"/>
        </w:rPr>
        <w:t>15050893302</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w:t>
      </w:r>
      <w:r>
        <w:rPr>
          <w:rFonts w:hint="eastAsia" w:ascii="方正楷体_GBK" w:hAnsi="方正楷体_GBK" w:eastAsia="方正楷体_GBK" w:cs="方正楷体_GBK"/>
          <w:bCs/>
          <w:color w:val="auto"/>
          <w:kern w:val="1"/>
          <w:sz w:val="32"/>
          <w:szCs w:val="32"/>
          <w:lang w:val="en-US" w:eastAsia="zh-CN"/>
        </w:rPr>
        <w:t>六</w:t>
      </w:r>
      <w:r>
        <w:rPr>
          <w:rFonts w:hint="eastAsia" w:ascii="方正楷体_GBK" w:hAnsi="方正楷体_GBK" w:eastAsia="方正楷体_GBK" w:cs="方正楷体_GBK"/>
          <w:bCs/>
          <w:color w:val="auto"/>
          <w:kern w:val="1"/>
          <w:sz w:val="32"/>
          <w:szCs w:val="32"/>
        </w:rPr>
        <w:t>）</w:t>
      </w:r>
      <w:r>
        <w:rPr>
          <w:rFonts w:hint="eastAsia" w:ascii="方正仿宋简体" w:hAnsi="方正仿宋简体" w:eastAsia="方正仿宋简体" w:cs="方正仿宋简体"/>
          <w:bCs/>
          <w:color w:val="auto"/>
          <w:kern w:val="1"/>
          <w:sz w:val="32"/>
          <w:szCs w:val="32"/>
        </w:rPr>
        <w:t>凡对招标文件条款有疑义的，请在开标前按以下方式联系：</w:t>
      </w:r>
    </w:p>
    <w:p>
      <w:pPr>
        <w:pStyle w:val="18"/>
        <w:keepNext w:val="0"/>
        <w:keepLines w:val="0"/>
        <w:pageBreakBefore w:val="0"/>
        <w:widowControl w:val="0"/>
        <w:tabs>
          <w:tab w:val="left" w:pos="180"/>
        </w:tabs>
        <w:kinsoku/>
        <w:wordWrap w:val="0"/>
        <w:overflowPunct/>
        <w:topLinePunct w:val="0"/>
        <w:autoSpaceDE/>
        <w:autoSpaceDN/>
        <w:bidi w:val="0"/>
        <w:adjustRightInd w:val="0"/>
        <w:snapToGrid w:val="0"/>
        <w:spacing w:line="600" w:lineRule="exact"/>
        <w:ind w:left="0" w:leftChars="0" w:firstLine="640" w:firstLineChars="200"/>
        <w:jc w:val="left"/>
        <w:textAlignment w:val="auto"/>
        <w:rPr>
          <w:rFonts w:hint="default" w:ascii="方正仿宋简体" w:hAnsi="方正仿宋简体" w:eastAsia="方正仿宋简体" w:cs="方正仿宋简体"/>
          <w:bCs/>
          <w:color w:val="auto"/>
          <w:kern w:val="1"/>
          <w:sz w:val="32"/>
          <w:szCs w:val="32"/>
          <w:lang w:val="en-US" w:eastAsia="zh-CN"/>
        </w:rPr>
      </w:pPr>
      <w:r>
        <w:rPr>
          <w:rFonts w:hint="eastAsia" w:ascii="方正仿宋简体" w:hAnsi="方正仿宋简体" w:eastAsia="方正仿宋简体" w:cs="方正仿宋简体"/>
          <w:bCs/>
          <w:color w:val="auto"/>
          <w:kern w:val="1"/>
          <w:sz w:val="32"/>
          <w:szCs w:val="32"/>
        </w:rPr>
        <w:t>联系单位：</w:t>
      </w:r>
      <w:r>
        <w:rPr>
          <w:rFonts w:hint="eastAsia" w:ascii="方正仿宋简体" w:hAnsi="方正仿宋简体" w:eastAsia="方正仿宋简体" w:cs="方正仿宋简体"/>
          <w:bCs/>
          <w:color w:val="auto"/>
          <w:kern w:val="1"/>
          <w:sz w:val="32"/>
          <w:szCs w:val="32"/>
          <w:lang w:val="en-US" w:eastAsia="zh-CN"/>
        </w:rPr>
        <w:t>镇江海纳川物流产业发展有限责任公司</w:t>
      </w:r>
    </w:p>
    <w:p>
      <w:pPr>
        <w:keepNext w:val="0"/>
        <w:keepLines w:val="0"/>
        <w:pageBreakBefore w:val="0"/>
        <w:widowControl w:val="0"/>
        <w:kinsoku/>
        <w:overflowPunct/>
        <w:topLinePunct w:val="0"/>
        <w:autoSpaceDE/>
        <w:autoSpaceDN/>
        <w:bidi w:val="0"/>
        <w:adjustRightInd w:val="0"/>
        <w:snapToGrid w:val="0"/>
        <w:spacing w:line="600" w:lineRule="exact"/>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rPr>
        <w:t xml:space="preserve">    地址：江苏省镇江市京口区求索路</w:t>
      </w:r>
      <w:r>
        <w:rPr>
          <w:rFonts w:hint="eastAsia" w:ascii="方正仿宋简体" w:hAnsi="方正仿宋简体" w:eastAsia="方正仿宋简体" w:cs="方正仿宋简体"/>
          <w:bCs/>
          <w:color w:val="auto"/>
          <w:kern w:val="1"/>
          <w:sz w:val="32"/>
          <w:szCs w:val="32"/>
          <w:lang w:val="en-US" w:eastAsia="zh-CN"/>
        </w:rPr>
        <w:t>66</w:t>
      </w:r>
      <w:r>
        <w:rPr>
          <w:rFonts w:hint="eastAsia" w:ascii="方正仿宋简体" w:hAnsi="方正仿宋简体" w:eastAsia="方正仿宋简体" w:cs="方正仿宋简体"/>
          <w:bCs/>
          <w:color w:val="auto"/>
          <w:kern w:val="1"/>
          <w:sz w:val="32"/>
          <w:szCs w:val="32"/>
        </w:rPr>
        <w:t>号，邮编：212006</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lang w:val="en-US" w:eastAsia="zh-CN"/>
        </w:rPr>
      </w:pPr>
      <w:r>
        <w:rPr>
          <w:rFonts w:hint="eastAsia" w:ascii="方正仿宋简体" w:hAnsi="方正仿宋简体" w:eastAsia="方正仿宋简体" w:cs="方正仿宋简体"/>
          <w:bCs/>
          <w:color w:val="auto"/>
          <w:kern w:val="1"/>
          <w:sz w:val="32"/>
          <w:szCs w:val="32"/>
        </w:rPr>
        <w:t>招标业务联系人：</w:t>
      </w:r>
      <w:r>
        <w:rPr>
          <w:rFonts w:hint="eastAsia" w:ascii="方正仿宋简体" w:hAnsi="方正仿宋简体" w:eastAsia="方正仿宋简体" w:cs="方正仿宋简体"/>
          <w:bCs/>
          <w:color w:val="auto"/>
          <w:kern w:val="1"/>
          <w:sz w:val="32"/>
          <w:szCs w:val="32"/>
          <w:lang w:val="en-US" w:eastAsia="zh-CN"/>
        </w:rPr>
        <w:t>邵蕾</w:t>
      </w:r>
      <w:r>
        <w:rPr>
          <w:rFonts w:hint="eastAsia" w:ascii="方正仿宋简体" w:hAnsi="方正仿宋简体" w:eastAsia="方正仿宋简体" w:cs="方正仿宋简体"/>
          <w:bCs/>
          <w:color w:val="auto"/>
          <w:kern w:val="1"/>
          <w:sz w:val="32"/>
          <w:szCs w:val="32"/>
        </w:rPr>
        <w:t xml:space="preserve">    </w:t>
      </w:r>
      <w:r>
        <w:rPr>
          <w:rFonts w:hint="eastAsia" w:ascii="方正仿宋简体" w:hAnsi="方正仿宋简体" w:eastAsia="方正仿宋简体" w:cs="方正仿宋简体"/>
          <w:bCs/>
          <w:color w:val="auto"/>
          <w:kern w:val="1"/>
          <w:sz w:val="32"/>
          <w:szCs w:val="32"/>
          <w:lang w:val="en-US" w:eastAsia="zh-CN"/>
        </w:rPr>
        <w:t xml:space="preserve"> </w:t>
      </w:r>
      <w:r>
        <w:rPr>
          <w:rFonts w:hint="eastAsia" w:ascii="方正仿宋简体" w:hAnsi="方正仿宋简体" w:eastAsia="方正仿宋简体" w:cs="方正仿宋简体"/>
          <w:bCs/>
          <w:color w:val="auto"/>
          <w:kern w:val="1"/>
          <w:sz w:val="32"/>
          <w:szCs w:val="32"/>
        </w:rPr>
        <w:t>电话：</w:t>
      </w:r>
      <w:r>
        <w:rPr>
          <w:rFonts w:hint="eastAsia" w:ascii="方正仿宋简体" w:hAnsi="方正仿宋简体" w:eastAsia="方正仿宋简体" w:cs="方正仿宋简体"/>
          <w:bCs/>
          <w:color w:val="auto"/>
          <w:kern w:val="1"/>
          <w:sz w:val="32"/>
          <w:szCs w:val="32"/>
          <w:lang w:val="en-US" w:eastAsia="zh-CN"/>
        </w:rPr>
        <w:t>15050893302</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Cs/>
          <w:color w:val="auto"/>
          <w:kern w:val="1"/>
          <w:sz w:val="32"/>
          <w:szCs w:val="32"/>
          <w:lang w:val="en-US" w:eastAsia="zh-CN"/>
        </w:rPr>
        <w:t>技术</w:t>
      </w:r>
      <w:r>
        <w:rPr>
          <w:rFonts w:hint="eastAsia" w:ascii="方正仿宋简体" w:hAnsi="方正仿宋简体" w:eastAsia="方正仿宋简体" w:cs="方正仿宋简体"/>
          <w:bCs/>
          <w:color w:val="auto"/>
          <w:kern w:val="1"/>
          <w:sz w:val="32"/>
          <w:szCs w:val="32"/>
        </w:rPr>
        <w:t>部门</w:t>
      </w:r>
      <w:r>
        <w:rPr>
          <w:rFonts w:hint="eastAsia" w:ascii="方正仿宋简体" w:hAnsi="方正仿宋简体" w:eastAsia="方正仿宋简体" w:cs="方正仿宋简体"/>
          <w:bCs/>
          <w:color w:val="auto"/>
          <w:kern w:val="1"/>
          <w:sz w:val="32"/>
          <w:szCs w:val="32"/>
          <w:lang w:val="en-US" w:eastAsia="zh-CN"/>
        </w:rPr>
        <w:t>联系</w:t>
      </w:r>
      <w:r>
        <w:rPr>
          <w:rFonts w:hint="eastAsia" w:ascii="方正仿宋简体" w:hAnsi="方正仿宋简体" w:eastAsia="方正仿宋简体" w:cs="方正仿宋简体"/>
          <w:bCs/>
          <w:color w:val="auto"/>
          <w:kern w:val="1"/>
          <w:sz w:val="32"/>
          <w:szCs w:val="32"/>
        </w:rPr>
        <w:t>人：</w:t>
      </w:r>
      <w:r>
        <w:rPr>
          <w:rFonts w:hint="eastAsia" w:ascii="方正仿宋简体" w:hAnsi="方正仿宋简体" w:eastAsia="方正仿宋简体" w:cs="方正仿宋简体"/>
          <w:color w:val="auto"/>
          <w:sz w:val="32"/>
          <w:szCs w:val="32"/>
          <w:lang w:val="en-US" w:eastAsia="zh-CN"/>
        </w:rPr>
        <w:t>徐捷</w:t>
      </w:r>
      <w:r>
        <w:rPr>
          <w:rFonts w:hint="eastAsia" w:ascii="方正仿宋简体" w:hAnsi="方正仿宋简体" w:eastAsia="方正仿宋简体" w:cs="方正仿宋简体"/>
          <w:bCs/>
          <w:color w:val="auto"/>
          <w:kern w:val="1"/>
          <w:sz w:val="32"/>
          <w:szCs w:val="32"/>
          <w:lang w:val="en-US" w:eastAsia="zh-CN"/>
        </w:rPr>
        <w:t xml:space="preserve">    </w:t>
      </w:r>
      <w:r>
        <w:rPr>
          <w:rFonts w:hint="eastAsia" w:ascii="方正仿宋简体" w:hAnsi="方正仿宋简体" w:eastAsia="方正仿宋简体" w:cs="方正仿宋简体"/>
          <w:bCs/>
          <w:color w:val="auto"/>
          <w:kern w:val="1"/>
          <w:sz w:val="32"/>
          <w:szCs w:val="32"/>
        </w:rPr>
        <w:t xml:space="preserve"> 电话：</w:t>
      </w:r>
      <w:r>
        <w:rPr>
          <w:rFonts w:hint="eastAsia" w:ascii="方正仿宋简体" w:hAnsi="方正仿宋简体" w:eastAsia="方正仿宋简体" w:cs="方正仿宋简体"/>
          <w:sz w:val="32"/>
          <w:szCs w:val="32"/>
          <w:lang w:val="en-US" w:eastAsia="zh-CN"/>
        </w:rPr>
        <w:t>17768671700</w:t>
      </w:r>
    </w:p>
    <w:p>
      <w:pPr>
        <w:pStyle w:val="12"/>
        <w:rPr>
          <w:rFonts w:hint="default"/>
          <w:lang w:val="en-US" w:eastAsia="zh-CN"/>
        </w:rPr>
      </w:pPr>
      <w:r>
        <w:rPr>
          <w:rFonts w:hint="eastAsia" w:ascii="方正仿宋简体" w:hAnsi="方正仿宋简体" w:eastAsia="方正仿宋简体" w:cs="方正仿宋简体"/>
          <w:sz w:val="32"/>
          <w:szCs w:val="32"/>
          <w:lang w:val="en-US" w:eastAsia="zh-CN"/>
        </w:rPr>
        <w:t xml:space="preserve">            何敏     电话：15805287835</w:t>
      </w:r>
    </w:p>
    <w:p>
      <w:pPr>
        <w:pStyle w:val="3"/>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开标、评标、流标及废标：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（一）</w:t>
      </w:r>
      <w:r>
        <w:rPr>
          <w:rFonts w:hint="eastAsia" w:ascii="方正仿宋简体" w:hAnsi="方正仿宋简体" w:eastAsia="方正仿宋简体" w:cs="方正仿宋简体"/>
          <w:bCs/>
          <w:color w:val="auto"/>
          <w:kern w:val="1"/>
          <w:sz w:val="32"/>
          <w:szCs w:val="32"/>
        </w:rPr>
        <w:t>开标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rPr>
        <w:t>本项目由招标人组织评标小组负责开标工作，对各投标人报价进行评标，确定最终中标人。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rPr>
        <w:t>1</w:t>
      </w:r>
      <w:r>
        <w:rPr>
          <w:rFonts w:hint="eastAsia" w:ascii="方正仿宋简体" w:hAnsi="方正仿宋简体" w:eastAsia="方正仿宋简体" w:cs="方正仿宋简体"/>
          <w:bCs/>
          <w:color w:val="auto"/>
          <w:kern w:val="1"/>
          <w:sz w:val="32"/>
          <w:szCs w:val="32"/>
          <w:lang w:val="en-US" w:eastAsia="zh-CN"/>
        </w:rPr>
        <w:t>.</w:t>
      </w:r>
      <w:r>
        <w:rPr>
          <w:rFonts w:hint="eastAsia" w:ascii="方正仿宋简体" w:hAnsi="方正仿宋简体" w:eastAsia="方正仿宋简体" w:cs="方正仿宋简体"/>
          <w:bCs/>
          <w:color w:val="auto"/>
          <w:kern w:val="1"/>
          <w:sz w:val="32"/>
          <w:szCs w:val="32"/>
        </w:rPr>
        <w:t>请各投标人保持通讯畅通，便于</w:t>
      </w:r>
      <w:r>
        <w:rPr>
          <w:rFonts w:hint="eastAsia" w:ascii="方正仿宋简体" w:hAnsi="方正仿宋简体" w:eastAsia="方正仿宋简体" w:cs="方正仿宋简体"/>
          <w:color w:val="auto"/>
          <w:kern w:val="1"/>
          <w:sz w:val="32"/>
          <w:szCs w:val="32"/>
        </w:rPr>
        <w:t>评标小组在开标现场电话联系</w:t>
      </w:r>
      <w:r>
        <w:rPr>
          <w:rFonts w:hint="eastAsia" w:ascii="方正仿宋简体" w:hAnsi="方正仿宋简体" w:eastAsia="方正仿宋简体" w:cs="方正仿宋简体"/>
          <w:bCs/>
          <w:color w:val="auto"/>
          <w:kern w:val="1"/>
          <w:sz w:val="32"/>
          <w:szCs w:val="32"/>
        </w:rPr>
        <w:t>。</w:t>
      </w:r>
      <w:r>
        <w:rPr>
          <w:rFonts w:hint="eastAsia" w:ascii="方正仿宋简体" w:hAnsi="方正仿宋简体" w:eastAsia="方正仿宋简体" w:cs="方正仿宋简体"/>
          <w:color w:val="auto"/>
          <w:sz w:val="32"/>
          <w:szCs w:val="32"/>
          <w:lang w:eastAsia="zh-CN"/>
        </w:rPr>
        <w:t>确认标书中的相关信息，投标人</w:t>
      </w:r>
      <w:r>
        <w:rPr>
          <w:rFonts w:hint="eastAsia" w:ascii="方正仿宋简体" w:hAnsi="方正仿宋简体" w:eastAsia="方正仿宋简体" w:cs="方正仿宋简体"/>
          <w:color w:val="auto"/>
          <w:sz w:val="32"/>
          <w:szCs w:val="32"/>
        </w:rPr>
        <w:t>必须</w:t>
      </w:r>
      <w:r>
        <w:rPr>
          <w:rFonts w:hint="eastAsia" w:ascii="方正仿宋简体" w:hAnsi="方正仿宋简体" w:eastAsia="方正仿宋简体" w:cs="方正仿宋简体"/>
          <w:color w:val="auto"/>
          <w:sz w:val="32"/>
          <w:szCs w:val="32"/>
          <w:lang w:eastAsia="zh-CN"/>
        </w:rPr>
        <w:t>及时回复开标过程中招标人提出的问题，合理解释投标文件与招标文件的偏离</w:t>
      </w:r>
      <w:r>
        <w:rPr>
          <w:rFonts w:hint="eastAsia" w:ascii="方正仿宋简体" w:hAnsi="方正仿宋简体" w:eastAsia="方正仿宋简体" w:cs="方正仿宋简体"/>
          <w:color w:val="auto"/>
          <w:sz w:val="32"/>
          <w:szCs w:val="32"/>
        </w:rPr>
        <w:t>。如评标小组开标现场</w:t>
      </w:r>
      <w:r>
        <w:rPr>
          <w:rFonts w:hint="eastAsia" w:ascii="方正仿宋简体" w:hAnsi="方正仿宋简体" w:eastAsia="方正仿宋简体" w:cs="方正仿宋简体"/>
          <w:color w:val="auto"/>
          <w:sz w:val="32"/>
          <w:szCs w:val="32"/>
          <w:lang w:val="en-US" w:eastAsia="zh-CN"/>
        </w:rPr>
        <w:t>10分钟内</w:t>
      </w:r>
      <w:r>
        <w:rPr>
          <w:rFonts w:hint="eastAsia" w:ascii="方正仿宋简体" w:hAnsi="方正仿宋简体" w:eastAsia="方正仿宋简体" w:cs="方正仿宋简体"/>
          <w:color w:val="auto"/>
          <w:sz w:val="32"/>
          <w:szCs w:val="32"/>
        </w:rPr>
        <w:t>电话联系不上</w:t>
      </w:r>
      <w:r>
        <w:rPr>
          <w:rFonts w:hint="eastAsia" w:ascii="方正仿宋简体" w:hAnsi="方正仿宋简体" w:eastAsia="方正仿宋简体" w:cs="方正仿宋简体"/>
          <w:color w:val="auto"/>
          <w:sz w:val="32"/>
          <w:szCs w:val="32"/>
          <w:lang w:eastAsia="zh-CN"/>
        </w:rPr>
        <w:t>投标人</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eastAsia="zh-CN"/>
        </w:rPr>
        <w:t>且投标文件与招标文件的偏离影响定标结果，</w:t>
      </w:r>
      <w:r>
        <w:rPr>
          <w:rFonts w:hint="eastAsia" w:ascii="方正仿宋简体" w:hAnsi="方正仿宋简体" w:eastAsia="方正仿宋简体" w:cs="方正仿宋简体"/>
          <w:color w:val="auto"/>
          <w:sz w:val="32"/>
          <w:szCs w:val="32"/>
        </w:rPr>
        <w:t>则视为</w:t>
      </w:r>
      <w:r>
        <w:rPr>
          <w:rFonts w:hint="eastAsia" w:ascii="方正仿宋简体" w:hAnsi="方正仿宋简体" w:eastAsia="方正仿宋简体" w:cs="方正仿宋简体"/>
          <w:color w:val="auto"/>
          <w:sz w:val="32"/>
          <w:szCs w:val="32"/>
          <w:lang w:eastAsia="zh-CN"/>
        </w:rPr>
        <w:t>投标人主动放弃本项目投标，开标结束后不再接受投标人的任何解释</w:t>
      </w:r>
      <w:r>
        <w:rPr>
          <w:rFonts w:hint="eastAsia" w:ascii="方正仿宋简体" w:hAnsi="方正仿宋简体" w:eastAsia="方正仿宋简体" w:cs="方正仿宋简体"/>
          <w:color w:val="auto"/>
          <w:sz w:val="32"/>
          <w:szCs w:val="32"/>
        </w:rPr>
        <w:t>。</w:t>
      </w:r>
    </w:p>
    <w:p>
      <w:pPr>
        <w:pStyle w:val="2"/>
        <w:keepNext w:val="0"/>
        <w:keepLines w:val="0"/>
        <w:pageBreakBefore w:val="0"/>
        <w:widowControl w:val="0"/>
        <w:kinsoku/>
        <w:wordWrap/>
        <w:overflowPunct/>
        <w:topLinePunct w:val="0"/>
        <w:autoSpaceDE/>
        <w:autoSpaceDN/>
        <w:bidi w:val="0"/>
        <w:spacing w:after="0" w:line="600"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bCs/>
          <w:color w:val="auto"/>
          <w:kern w:val="1"/>
          <w:sz w:val="32"/>
          <w:szCs w:val="32"/>
        </w:rPr>
        <w:t>2</w:t>
      </w:r>
      <w:r>
        <w:rPr>
          <w:rFonts w:hint="eastAsia" w:ascii="方正仿宋简体" w:hAnsi="方正仿宋简体" w:eastAsia="方正仿宋简体" w:cs="方正仿宋简体"/>
          <w:bCs/>
          <w:color w:val="auto"/>
          <w:kern w:val="1"/>
          <w:sz w:val="32"/>
          <w:szCs w:val="32"/>
          <w:lang w:val="en-US" w:eastAsia="zh-CN"/>
        </w:rPr>
        <w:t>.</w:t>
      </w:r>
      <w:r>
        <w:rPr>
          <w:rFonts w:hint="eastAsia" w:ascii="方正仿宋简体" w:hAnsi="方正仿宋简体" w:eastAsia="方正仿宋简体" w:cs="方正仿宋简体"/>
          <w:bCs/>
          <w:color w:val="auto"/>
          <w:kern w:val="1"/>
          <w:sz w:val="32"/>
          <w:szCs w:val="32"/>
        </w:rPr>
        <w:t xml:space="preserve">评标小组不得泄露各投标人的报价。   </w:t>
      </w:r>
    </w:p>
    <w:p>
      <w:pPr>
        <w:numPr>
          <w:ilvl w:val="0"/>
          <w:numId w:val="0"/>
        </w:numPr>
        <w:spacing w:line="360" w:lineRule="auto"/>
        <w:ind w:firstLine="640" w:firstLineChars="200"/>
        <w:jc w:val="left"/>
        <w:rPr>
          <w:rFonts w:hint="default" w:ascii="方正仿宋简体" w:hAnsi="方正仿宋简体" w:eastAsia="方正仿宋简体" w:cs="方正仿宋简体"/>
          <w:color w:val="auto"/>
          <w:sz w:val="32"/>
          <w:szCs w:val="32"/>
          <w:lang w:val="en-US" w:eastAsia="zh-CN"/>
        </w:rPr>
      </w:pPr>
      <w:r>
        <w:rPr>
          <w:rFonts w:hint="eastAsia" w:ascii="方正楷体_GBK" w:hAnsi="方正楷体_GBK" w:eastAsia="方正楷体_GBK" w:cs="方正楷体_GBK"/>
          <w:bCs/>
          <w:color w:val="auto"/>
          <w:kern w:val="1"/>
          <w:sz w:val="32"/>
          <w:szCs w:val="32"/>
        </w:rPr>
        <w:t>（二）</w:t>
      </w:r>
      <w:r>
        <w:rPr>
          <w:rFonts w:hint="eastAsia" w:ascii="方正仿宋简体" w:hAnsi="方正仿宋简体" w:eastAsia="方正仿宋简体" w:cs="方正仿宋简体"/>
          <w:bCs/>
          <w:color w:val="auto"/>
          <w:kern w:val="1"/>
          <w:sz w:val="32"/>
          <w:szCs w:val="32"/>
        </w:rPr>
        <w:t>评标</w:t>
      </w:r>
    </w:p>
    <w:p>
      <w:pPr>
        <w:spacing w:line="360" w:lineRule="auto"/>
        <w:ind w:firstLine="640" w:firstLineChars="200"/>
        <w:jc w:val="left"/>
        <w:rPr>
          <w:rFonts w:hint="eastAsia"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1.综合</w:t>
      </w:r>
    </w:p>
    <w:p>
      <w:pPr>
        <w:spacing w:line="360" w:lineRule="auto"/>
        <w:ind w:firstLine="640" w:firstLineChars="200"/>
        <w:jc w:val="left"/>
        <w:rPr>
          <w:rFonts w:hint="eastAsia" w:ascii="方正仿宋简体" w:hAnsi="方正仿宋简体" w:eastAsia="方正仿宋简体" w:cs="方正仿宋简体"/>
          <w:bCs/>
          <w:color w:val="auto"/>
          <w:kern w:val="1"/>
          <w:sz w:val="32"/>
          <w:szCs w:val="32"/>
          <w:highlight w:val="none"/>
          <w:lang w:val="en-US" w:eastAsia="zh-CN" w:bidi="ar-SA"/>
        </w:rPr>
      </w:pPr>
      <w:r>
        <w:rPr>
          <w:rFonts w:hint="eastAsia" w:ascii="方正仿宋简体" w:hAnsi="方正仿宋简体" w:eastAsia="方正仿宋简体" w:cs="方正仿宋简体"/>
          <w:bCs/>
          <w:color w:val="auto"/>
          <w:kern w:val="1"/>
          <w:sz w:val="32"/>
          <w:szCs w:val="32"/>
          <w:highlight w:val="none"/>
          <w:lang w:val="en-US" w:eastAsia="zh-CN" w:bidi="ar-SA"/>
        </w:rPr>
        <w:t>（1）采取综合评审方法进行打分，并按综合评分由高到低顺序推选一名中标候选人。</w:t>
      </w:r>
    </w:p>
    <w:p>
      <w:pPr>
        <w:numPr>
          <w:ilvl w:val="0"/>
          <w:numId w:val="0"/>
        </w:numPr>
        <w:spacing w:line="360" w:lineRule="auto"/>
        <w:ind w:firstLine="640" w:firstLineChars="200"/>
        <w:jc w:val="left"/>
        <w:rPr>
          <w:rFonts w:hint="eastAsia"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2.通用</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FF0000"/>
          <w:sz w:val="32"/>
          <w:szCs w:val="32"/>
          <w:lang w:eastAsia="zh-CN"/>
        </w:rPr>
        <w:t>本次采用</w:t>
      </w:r>
      <w:r>
        <w:rPr>
          <w:rFonts w:hint="eastAsia" w:ascii="方正仿宋简体" w:hAnsi="方正仿宋简体" w:eastAsia="方正仿宋简体" w:cs="方正仿宋简体"/>
          <w:color w:val="FF0000"/>
          <w:sz w:val="32"/>
          <w:szCs w:val="32"/>
          <w:lang w:val="en-US" w:eastAsia="zh-CN"/>
        </w:rPr>
        <w:t>该</w:t>
      </w:r>
      <w:r>
        <w:rPr>
          <w:rFonts w:hint="eastAsia" w:ascii="方正仿宋简体" w:hAnsi="方正仿宋简体" w:eastAsia="方正仿宋简体" w:cs="方正仿宋简体"/>
          <w:color w:val="FF0000"/>
          <w:sz w:val="32"/>
          <w:szCs w:val="32"/>
          <w:lang w:eastAsia="zh-CN"/>
        </w:rPr>
        <w:t>评标方式</w:t>
      </w:r>
      <w:r>
        <w:rPr>
          <w:rFonts w:hint="eastAsia" w:ascii="方正仿宋简体" w:hAnsi="方正仿宋简体" w:eastAsia="方正仿宋简体" w:cs="方正仿宋简体"/>
          <w:color w:val="auto"/>
          <w:sz w:val="32"/>
          <w:szCs w:val="32"/>
          <w:lang w:eastAsia="zh-CN"/>
        </w:rPr>
        <w:t>）</w:t>
      </w:r>
    </w:p>
    <w:p>
      <w:pPr>
        <w:numPr>
          <w:ilvl w:val="0"/>
          <w:numId w:val="0"/>
        </w:numPr>
        <w:spacing w:line="360" w:lineRule="auto"/>
        <w:ind w:firstLine="640" w:firstLineChars="200"/>
        <w:jc w:val="left"/>
        <w:rPr>
          <w:rFonts w:hint="eastAsia"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（1）在能够满足招标人资质、综合情况要求的投标人中选择总投标价最低的一家投标人作为中标候选人。</w:t>
      </w:r>
    </w:p>
    <w:p>
      <w:pPr>
        <w:spacing w:line="360" w:lineRule="auto"/>
        <w:ind w:firstLine="640" w:firstLineChars="200"/>
        <w:jc w:val="left"/>
        <w:rPr>
          <w:rFonts w:hint="eastAsia"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（2）同等价格下，质量指标、售后服务更好的为中标候选人。</w:t>
      </w:r>
    </w:p>
    <w:p>
      <w:pPr>
        <w:spacing w:line="360" w:lineRule="auto"/>
        <w:ind w:firstLine="640" w:firstLineChars="200"/>
        <w:jc w:val="left"/>
        <w:rPr>
          <w:rFonts w:hint="eastAsia" w:ascii="方正仿宋简体" w:hAnsi="方正仿宋简体" w:eastAsia="方正仿宋简体" w:cs="方正仿宋简体"/>
          <w:bCs/>
          <w:color w:val="auto"/>
          <w:kern w:val="1"/>
          <w:sz w:val="32"/>
          <w:szCs w:val="32"/>
          <w:lang w:val="en-US" w:eastAsia="zh-CN" w:bidi="ar-SA"/>
        </w:rPr>
      </w:pPr>
      <w:r>
        <w:rPr>
          <w:rFonts w:hint="eastAsia" w:ascii="方正仿宋简体" w:hAnsi="方正仿宋简体" w:eastAsia="方正仿宋简体" w:cs="方正仿宋简体"/>
          <w:bCs/>
          <w:color w:val="auto"/>
          <w:kern w:val="1"/>
          <w:sz w:val="32"/>
          <w:szCs w:val="32"/>
          <w:lang w:val="en-US" w:eastAsia="zh-CN" w:bidi="ar-SA"/>
        </w:rPr>
        <w:t>（3）同等价格、同等质量下，现有供应方为中标候选人。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rPr>
        <w:t>（三）</w:t>
      </w:r>
      <w:r>
        <w:rPr>
          <w:rFonts w:hint="eastAsia" w:ascii="方正仿宋简体" w:hAnsi="方正仿宋简体" w:eastAsia="方正仿宋简体" w:cs="方正仿宋简体"/>
          <w:bCs/>
          <w:color w:val="auto"/>
          <w:kern w:val="1"/>
          <w:sz w:val="32"/>
          <w:szCs w:val="32"/>
        </w:rPr>
        <w:t>废标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lang w:val="en-US" w:eastAsia="zh-CN"/>
        </w:rPr>
        <w:t>1.</w:t>
      </w:r>
      <w:r>
        <w:rPr>
          <w:rFonts w:hint="eastAsia" w:ascii="方正仿宋简体" w:hAnsi="方正仿宋简体" w:eastAsia="方正仿宋简体" w:cs="方正仿宋简体"/>
          <w:bCs/>
          <w:color w:val="auto"/>
          <w:kern w:val="1"/>
          <w:sz w:val="32"/>
          <w:szCs w:val="32"/>
        </w:rPr>
        <w:t>招标人如发现招标过程中有串标、陪标等扰乱招标人经营秩序的恶劣情况，经招标人评标小组评定可作</w:t>
      </w:r>
      <w:r>
        <w:rPr>
          <w:rFonts w:hint="eastAsia" w:ascii="方正仿宋简体" w:hAnsi="方正仿宋简体" w:eastAsia="方正仿宋简体" w:cs="方正仿宋简体"/>
          <w:bCs/>
          <w:color w:val="auto"/>
          <w:kern w:val="1"/>
          <w:sz w:val="32"/>
          <w:szCs w:val="32"/>
          <w:lang w:val="en-US" w:eastAsia="zh-CN"/>
        </w:rPr>
        <w:t>废</w:t>
      </w:r>
      <w:r>
        <w:rPr>
          <w:rFonts w:hint="eastAsia" w:ascii="方正仿宋简体" w:hAnsi="方正仿宋简体" w:eastAsia="方正仿宋简体" w:cs="方正仿宋简体"/>
          <w:bCs/>
          <w:color w:val="auto"/>
          <w:kern w:val="1"/>
          <w:sz w:val="32"/>
          <w:szCs w:val="32"/>
        </w:rPr>
        <w:t>标处理，并可将相关投标方列入供应商负面清单，一年内不再接受参与投标工作。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楷体_GBK" w:cs="方正仿宋简体"/>
          <w:bCs/>
          <w:color w:val="auto"/>
          <w:kern w:val="1"/>
          <w:sz w:val="32"/>
          <w:szCs w:val="32"/>
          <w:lang w:val="en-US" w:eastAsia="zh-CN"/>
        </w:rPr>
        <w:t>2.</w:t>
      </w:r>
      <w:r>
        <w:rPr>
          <w:rFonts w:hint="eastAsia" w:ascii="方正仿宋简体" w:hAnsi="方正仿宋简体" w:eastAsia="方正仿宋简体" w:cs="方正仿宋简体"/>
          <w:bCs/>
          <w:color w:val="auto"/>
          <w:kern w:val="1"/>
          <w:sz w:val="32"/>
          <w:szCs w:val="32"/>
        </w:rPr>
        <w:t>凡投标人不具备</w:t>
      </w:r>
      <w:r>
        <w:rPr>
          <w:rFonts w:hint="eastAsia" w:ascii="方正仿宋简体" w:hAnsi="方正仿宋简体" w:eastAsia="方正仿宋简体" w:cs="方正仿宋简体"/>
          <w:bCs/>
          <w:color w:val="FF0000"/>
          <w:kern w:val="1"/>
          <w:sz w:val="32"/>
          <w:szCs w:val="32"/>
        </w:rPr>
        <w:t>招标人明确要求资质的</w:t>
      </w:r>
      <w:r>
        <w:rPr>
          <w:rFonts w:hint="eastAsia" w:ascii="方正仿宋简体" w:hAnsi="方正仿宋简体" w:eastAsia="方正仿宋简体" w:cs="方正仿宋简体"/>
          <w:bCs/>
          <w:color w:val="auto"/>
          <w:kern w:val="1"/>
          <w:sz w:val="32"/>
          <w:szCs w:val="32"/>
        </w:rPr>
        <w:t>，或投标文件填写不完整、报价有空项的，或不符合技术要求条款的，或者存在其他不符合招标人有关要求的问题，经招标人评标小组评定，可作废标处理。</w:t>
      </w:r>
    </w:p>
    <w:p>
      <w:pPr>
        <w:pStyle w:val="3"/>
        <w:keepNext w:val="0"/>
        <w:keepLines w:val="0"/>
        <w:pageBreakBefore w:val="0"/>
        <w:widowControl w:val="0"/>
        <w:numPr>
          <w:ilvl w:val="0"/>
          <w:numId w:val="0"/>
        </w:numPr>
        <w:kinsoku/>
        <w:wordWrap/>
        <w:overflowPunct/>
        <w:topLinePunct w:val="0"/>
        <w:autoSpaceDE/>
        <w:autoSpaceDN/>
        <w:bidi w:val="0"/>
        <w:spacing w:line="600" w:lineRule="exact"/>
        <w:ind w:firstLine="643" w:firstLineChars="200"/>
        <w:textAlignment w:val="auto"/>
        <w:rPr>
          <w:rFonts w:hint="eastAsia" w:ascii="方正仿宋简体" w:hAnsi="方正仿宋简体" w:eastAsia="方正仿宋简体" w:cs="方正仿宋简体"/>
          <w:bCs/>
          <w:color w:val="FF0000"/>
          <w:kern w:val="1"/>
          <w:sz w:val="32"/>
          <w:szCs w:val="32"/>
          <w:lang w:val="en-US" w:eastAsia="zh-CN"/>
        </w:rPr>
      </w:pPr>
      <w:r>
        <w:rPr>
          <w:rFonts w:hint="eastAsia" w:ascii="方正黑体_GBK" w:hAnsi="方正黑体_GBK" w:eastAsia="方正黑体_GBK" w:cs="方正黑体_GBK"/>
          <w:b/>
          <w:kern w:val="1"/>
          <w:sz w:val="32"/>
          <w:szCs w:val="32"/>
          <w:lang w:val="en-US" w:eastAsia="zh-CN"/>
        </w:rPr>
        <w:t xml:space="preserve"> </w:t>
      </w:r>
      <w:r>
        <w:rPr>
          <w:rFonts w:hint="eastAsia" w:ascii="方正黑体_GBK" w:hAnsi="方正黑体_GBK" w:eastAsia="方正黑体_GBK" w:cs="方正黑体_GBK"/>
          <w:b/>
          <w:kern w:val="1"/>
          <w:sz w:val="32"/>
          <w:szCs w:val="32"/>
          <w:lang w:eastAsia="zh-CN"/>
        </w:rPr>
        <w:t>六、</w:t>
      </w:r>
      <w:r>
        <w:rPr>
          <w:rFonts w:hint="eastAsia" w:ascii="方正黑体_GBK" w:hAnsi="方正黑体_GBK" w:eastAsia="方正黑体_GBK" w:cs="方正黑体_GBK"/>
          <w:b/>
          <w:kern w:val="1"/>
          <w:sz w:val="32"/>
          <w:szCs w:val="32"/>
        </w:rPr>
        <w:t>其他注意事项：</w:t>
      </w:r>
    </w:p>
    <w:p>
      <w:pPr>
        <w:widowControl w:val="0"/>
        <w:kinsoku/>
        <w:overflowPunct/>
        <w:topLinePunct w:val="0"/>
        <w:autoSpaceDE/>
        <w:autoSpaceDN/>
        <w:bidi w:val="0"/>
        <w:adjustRightInd w:val="0"/>
        <w:snapToGrid w:val="0"/>
        <w:spacing w:line="600" w:lineRule="exact"/>
        <w:ind w:firstLine="640" w:firstLineChars="200"/>
        <w:textAlignment w:val="auto"/>
        <w:rPr>
          <w:rFonts w:hint="default" w:ascii="方正楷体_GBK" w:hAnsi="方正楷体_GBK" w:eastAsia="方正楷体_GBK" w:cs="方正楷体_GBK"/>
          <w:bCs/>
          <w:color w:val="auto"/>
          <w:kern w:val="1"/>
          <w:sz w:val="32"/>
          <w:szCs w:val="32"/>
          <w:lang w:val="en-US" w:eastAsia="zh-CN"/>
        </w:rPr>
      </w:pPr>
      <w:r>
        <w:rPr>
          <w:rFonts w:hint="eastAsia" w:ascii="方正楷体_GBK" w:hAnsi="方正楷体_GBK" w:eastAsia="方正楷体_GBK" w:cs="方正楷体_GBK"/>
          <w:bCs/>
          <w:color w:val="auto"/>
          <w:kern w:val="1"/>
          <w:sz w:val="32"/>
          <w:szCs w:val="32"/>
          <w:lang w:val="en-US" w:eastAsia="zh-CN"/>
        </w:rPr>
        <w:t>（一）签订合同</w:t>
      </w:r>
    </w:p>
    <w:p>
      <w:pPr>
        <w:keepNext w:val="0"/>
        <w:keepLines w:val="0"/>
        <w:kinsoku/>
        <w:wordWrap/>
        <w:overflowPunct/>
        <w:topLinePunct w:val="0"/>
        <w:autoSpaceDE/>
        <w:autoSpaceDN/>
        <w:bidi w:val="0"/>
        <w:spacing w:line="600" w:lineRule="exact"/>
        <w:ind w:firstLine="614" w:firstLineChars="192"/>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中标公司收到中标通知后3日内与我公司签订保险合同。合同内容应与招标文件内容保持一致。</w:t>
      </w:r>
    </w:p>
    <w:p>
      <w:pPr>
        <w:pStyle w:val="12"/>
        <w:ind w:left="0" w:leftChars="0" w:firstLine="640"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_GBK" w:hAnsi="方正仿宋_GBK" w:eastAsia="方正仿宋_GBK" w:cs="方正仿宋_GBK"/>
          <w:sz w:val="32"/>
          <w:szCs w:val="32"/>
        </w:rPr>
        <w:t>.</w:t>
      </w:r>
      <w:r>
        <w:rPr>
          <w:rFonts w:hint="eastAsia" w:ascii="方正仿宋简体" w:hAnsi="方正仿宋简体" w:eastAsia="方正仿宋简体" w:cs="方正仿宋简体"/>
          <w:sz w:val="32"/>
          <w:szCs w:val="32"/>
        </w:rPr>
        <w:t>合同一式</w:t>
      </w:r>
      <w:r>
        <w:rPr>
          <w:rFonts w:hint="eastAsia" w:ascii="方正仿宋简体" w:hAnsi="方正仿宋简体" w:eastAsia="方正仿宋简体" w:cs="方正仿宋简体"/>
          <w:sz w:val="32"/>
          <w:szCs w:val="32"/>
          <w:lang w:val="en-US" w:eastAsia="zh-CN"/>
        </w:rPr>
        <w:t>四</w:t>
      </w:r>
      <w:r>
        <w:rPr>
          <w:rFonts w:hint="eastAsia" w:ascii="方正仿宋简体" w:hAnsi="方正仿宋简体" w:eastAsia="方正仿宋简体" w:cs="方正仿宋简体"/>
          <w:sz w:val="32"/>
          <w:szCs w:val="32"/>
        </w:rPr>
        <w:t>份：中标公司一份、我公司</w:t>
      </w:r>
      <w:r>
        <w:rPr>
          <w:rFonts w:hint="eastAsia" w:ascii="方正仿宋简体" w:hAnsi="方正仿宋简体" w:eastAsia="方正仿宋简体" w:cs="方正仿宋简体"/>
          <w:sz w:val="32"/>
          <w:szCs w:val="32"/>
          <w:lang w:val="en-US" w:eastAsia="zh-CN"/>
        </w:rPr>
        <w:t>三</w:t>
      </w:r>
      <w:r>
        <w:rPr>
          <w:rFonts w:hint="eastAsia" w:ascii="方正仿宋简体" w:hAnsi="方正仿宋简体" w:eastAsia="方正仿宋简体" w:cs="方正仿宋简体"/>
          <w:sz w:val="32"/>
          <w:szCs w:val="32"/>
        </w:rPr>
        <w:t>份。</w:t>
      </w:r>
    </w:p>
    <w:p>
      <w:pPr>
        <w:pStyle w:val="12"/>
        <w:ind w:left="0" w:leftChars="0" w:firstLine="640" w:firstLineChars="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3.本保险如中标人无法独立承保，可进行共保，但在投标文件中需作出说明，中标人必须是首席承保人，并提供共保保险公司保险份额清单及其营业执照。</w:t>
      </w:r>
    </w:p>
    <w:p>
      <w:pPr>
        <w:widowControl w:val="0"/>
        <w:kinsoku/>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bCs/>
          <w:color w:val="auto"/>
          <w:kern w:val="1"/>
          <w:sz w:val="32"/>
          <w:szCs w:val="32"/>
          <w:lang w:val="en-US" w:eastAsia="zh-CN"/>
        </w:rPr>
      </w:pPr>
      <w:r>
        <w:rPr>
          <w:rFonts w:hint="eastAsia" w:ascii="方正楷体_GBK" w:hAnsi="方正楷体_GBK" w:eastAsia="方正楷体_GBK" w:cs="方正楷体_GBK"/>
          <w:bCs/>
          <w:color w:val="auto"/>
          <w:kern w:val="1"/>
          <w:sz w:val="32"/>
          <w:szCs w:val="32"/>
          <w:lang w:val="en-US" w:eastAsia="zh-CN"/>
        </w:rPr>
        <w:t>（二）保险公司服务机构</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成立工作服务小组，明确负责人，负责协调承保、理赔服务等相关事宜。</w:t>
      </w:r>
    </w:p>
    <w:p>
      <w:pPr>
        <w:widowControl w:val="0"/>
        <w:kinsoku/>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bCs/>
          <w:color w:val="auto"/>
          <w:kern w:val="1"/>
          <w:sz w:val="32"/>
          <w:szCs w:val="32"/>
          <w:lang w:val="en-US" w:eastAsia="zh-CN"/>
        </w:rPr>
      </w:pPr>
      <w:r>
        <w:rPr>
          <w:rFonts w:hint="eastAsia" w:ascii="方正楷体_GBK" w:hAnsi="方正楷体_GBK" w:eastAsia="方正楷体_GBK" w:cs="方正楷体_GBK"/>
          <w:bCs/>
          <w:color w:val="auto"/>
          <w:kern w:val="1"/>
          <w:sz w:val="32"/>
          <w:szCs w:val="32"/>
          <w:lang w:val="en-US" w:eastAsia="zh-CN"/>
        </w:rPr>
        <w:t>（三）查勘</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lang w:val="en-US" w:eastAsia="zh-CN"/>
        </w:rPr>
        <w:t>1.</w:t>
      </w:r>
      <w:r>
        <w:rPr>
          <w:rFonts w:hint="eastAsia" w:ascii="方正仿宋简体" w:hAnsi="方正仿宋简体" w:eastAsia="方正仿宋简体" w:cs="方正仿宋简体"/>
          <w:sz w:val="32"/>
          <w:szCs w:val="32"/>
        </w:rPr>
        <w:t>设立 365 天无休日，24小时报案、咨询受理电话；</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lang w:val="en-US" w:eastAsia="zh-CN"/>
        </w:rPr>
        <w:t>2.</w:t>
      </w:r>
      <w:r>
        <w:rPr>
          <w:rFonts w:hint="eastAsia" w:ascii="方正仿宋简体" w:hAnsi="方正仿宋简体" w:eastAsia="方正仿宋简体" w:cs="方正仿宋简体"/>
          <w:sz w:val="32"/>
          <w:szCs w:val="32"/>
        </w:rPr>
        <w:t>接到我公司报案后，应迅速组织人员或委托出险当地保险分公司人员赶赴现场查勘，如果财产尚未脱离危险状态，现场查勘人员应立即会同我公司人员或有关部门采取必要合理的措施，尽量减少保险财产的损失。</w:t>
      </w:r>
    </w:p>
    <w:p>
      <w:pPr>
        <w:widowControl w:val="0"/>
        <w:kinsoku/>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bCs/>
          <w:color w:val="auto"/>
          <w:kern w:val="1"/>
          <w:sz w:val="32"/>
          <w:szCs w:val="32"/>
          <w:lang w:val="en-US" w:eastAsia="zh-CN"/>
        </w:rPr>
      </w:pPr>
      <w:r>
        <w:rPr>
          <w:rFonts w:hint="eastAsia" w:ascii="方正楷体_GBK" w:hAnsi="方正楷体_GBK" w:eastAsia="方正楷体_GBK" w:cs="方正楷体_GBK"/>
          <w:bCs/>
          <w:color w:val="auto"/>
          <w:kern w:val="1"/>
          <w:sz w:val="32"/>
          <w:szCs w:val="32"/>
          <w:lang w:val="en-US" w:eastAsia="zh-CN"/>
        </w:rPr>
        <w:t>（四）索赔时效</w:t>
      </w:r>
    </w:p>
    <w:p>
      <w:pPr>
        <w:pStyle w:val="2"/>
        <w:widowControl w:val="0"/>
        <w:kinsoku/>
        <w:overflowPunct/>
        <w:topLinePunct w:val="0"/>
        <w:autoSpaceDE/>
        <w:autoSpaceDN/>
        <w:bidi w:val="0"/>
        <w:spacing w:after="0"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我公司将完整的索赔资料提交给保险公司后，保险公司应在七个工作日内将理赔款项支付给我公司。</w:t>
      </w:r>
    </w:p>
    <w:p>
      <w:pPr>
        <w:widowControl w:val="0"/>
        <w:kinsoku/>
        <w:overflowPunct/>
        <w:topLinePunct w:val="0"/>
        <w:autoSpaceDE/>
        <w:autoSpaceDN/>
        <w:bidi w:val="0"/>
        <w:adjustRightInd w:val="0"/>
        <w:snapToGrid w:val="0"/>
        <w:spacing w:line="600" w:lineRule="exact"/>
        <w:ind w:firstLine="640" w:firstLineChars="200"/>
        <w:jc w:val="left"/>
        <w:textAlignment w:val="auto"/>
        <w:rPr>
          <w:rFonts w:hint="eastAsia" w:ascii="方正仿宋简体" w:hAnsi="方正仿宋简体" w:eastAsia="方正仿宋简体" w:cs="方正仿宋简体"/>
          <w:bCs/>
          <w:color w:val="auto"/>
          <w:kern w:val="1"/>
          <w:sz w:val="32"/>
          <w:szCs w:val="32"/>
          <w:highlight w:val="none"/>
        </w:rPr>
      </w:pPr>
      <w:r>
        <w:rPr>
          <w:rFonts w:hint="eastAsia" w:ascii="方正楷体_GBK" w:hAnsi="方正楷体_GBK" w:eastAsia="方正楷体_GBK" w:cs="方正楷体_GBK"/>
          <w:bCs/>
          <w:color w:val="auto"/>
          <w:kern w:val="1"/>
          <w:sz w:val="32"/>
          <w:szCs w:val="32"/>
          <w:highlight w:val="none"/>
        </w:rPr>
        <w:t>（</w:t>
      </w:r>
      <w:r>
        <w:rPr>
          <w:rFonts w:hint="eastAsia" w:ascii="方正楷体_GBK" w:hAnsi="方正楷体_GBK" w:eastAsia="方正楷体_GBK" w:cs="方正楷体_GBK"/>
          <w:bCs/>
          <w:color w:val="auto"/>
          <w:kern w:val="1"/>
          <w:sz w:val="32"/>
          <w:szCs w:val="32"/>
          <w:highlight w:val="none"/>
          <w:lang w:eastAsia="zh-CN"/>
        </w:rPr>
        <w:t>五</w:t>
      </w:r>
      <w:r>
        <w:rPr>
          <w:rFonts w:hint="eastAsia" w:ascii="方正楷体_GBK" w:hAnsi="方正楷体_GBK" w:eastAsia="方正楷体_GBK" w:cs="方正楷体_GBK"/>
          <w:bCs/>
          <w:color w:val="auto"/>
          <w:kern w:val="1"/>
          <w:sz w:val="32"/>
          <w:szCs w:val="32"/>
          <w:highlight w:val="none"/>
        </w:rPr>
        <w:t>）</w:t>
      </w:r>
      <w:r>
        <w:rPr>
          <w:rFonts w:hint="eastAsia" w:ascii="方正仿宋简体" w:hAnsi="方正仿宋简体" w:eastAsia="方正仿宋简体" w:cs="方正仿宋简体"/>
          <w:bCs/>
          <w:color w:val="auto"/>
          <w:kern w:val="1"/>
          <w:sz w:val="32"/>
          <w:szCs w:val="32"/>
          <w:highlight w:val="none"/>
        </w:rPr>
        <w:t>如因投标人不能正常履约，严重影响招标人生产经营活动的，招标人将依法追究投标方法律责任。</w:t>
      </w:r>
    </w:p>
    <w:p>
      <w:pPr>
        <w:widowControl w:val="0"/>
        <w:kinsoku/>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bCs/>
          <w:color w:val="auto"/>
          <w:kern w:val="1"/>
          <w:sz w:val="32"/>
          <w:szCs w:val="32"/>
          <w:highlight w:val="none"/>
        </w:rPr>
      </w:pPr>
      <w:r>
        <w:rPr>
          <w:rFonts w:hint="eastAsia" w:ascii="方正楷体_GBK" w:hAnsi="方正楷体_GBK" w:eastAsia="方正楷体_GBK" w:cs="方正楷体_GBK"/>
          <w:bCs/>
          <w:color w:val="auto"/>
          <w:kern w:val="1"/>
          <w:sz w:val="32"/>
          <w:szCs w:val="32"/>
          <w:highlight w:val="none"/>
        </w:rPr>
        <w:t>（</w:t>
      </w:r>
      <w:r>
        <w:rPr>
          <w:rFonts w:hint="eastAsia" w:ascii="方正楷体_GBK" w:hAnsi="方正楷体_GBK" w:eastAsia="方正楷体_GBK" w:cs="方正楷体_GBK"/>
          <w:bCs/>
          <w:color w:val="auto"/>
          <w:kern w:val="1"/>
          <w:sz w:val="32"/>
          <w:szCs w:val="32"/>
          <w:highlight w:val="none"/>
          <w:lang w:eastAsia="zh-CN"/>
        </w:rPr>
        <w:t>六</w:t>
      </w:r>
      <w:r>
        <w:rPr>
          <w:rFonts w:hint="eastAsia" w:ascii="方正楷体_GBK" w:hAnsi="方正楷体_GBK" w:eastAsia="方正楷体_GBK" w:cs="方正楷体_GBK"/>
          <w:bCs/>
          <w:color w:val="auto"/>
          <w:kern w:val="1"/>
          <w:sz w:val="32"/>
          <w:szCs w:val="32"/>
          <w:highlight w:val="none"/>
        </w:rPr>
        <w:t>）</w:t>
      </w:r>
      <w:r>
        <w:rPr>
          <w:rFonts w:hint="eastAsia" w:ascii="方正仿宋简体" w:hAnsi="方正仿宋简体" w:eastAsia="方正仿宋简体" w:cs="方正仿宋简体"/>
          <w:bCs/>
          <w:color w:val="auto"/>
          <w:kern w:val="1"/>
          <w:sz w:val="32"/>
          <w:szCs w:val="32"/>
          <w:highlight w:val="none"/>
        </w:rPr>
        <w:t>投标人在中标后无正当理由不与招标人签订合同的，将承担违约责任，列入招标人供应商负面清单。</w:t>
      </w:r>
    </w:p>
    <w:p>
      <w:pPr>
        <w:widowControl w:val="0"/>
        <w:kinsoku/>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bCs/>
          <w:color w:val="auto"/>
          <w:kern w:val="1"/>
          <w:sz w:val="32"/>
          <w:szCs w:val="32"/>
          <w:highlight w:val="none"/>
        </w:rPr>
      </w:pPr>
      <w:r>
        <w:rPr>
          <w:rFonts w:hint="eastAsia" w:ascii="方正楷体_GBK" w:hAnsi="方正楷体_GBK" w:eastAsia="方正楷体_GBK" w:cs="方正楷体_GBK"/>
          <w:bCs/>
          <w:color w:val="auto"/>
          <w:kern w:val="1"/>
          <w:sz w:val="32"/>
          <w:szCs w:val="32"/>
          <w:highlight w:val="none"/>
        </w:rPr>
        <w:t>（</w:t>
      </w:r>
      <w:r>
        <w:rPr>
          <w:rFonts w:hint="eastAsia" w:ascii="方正楷体_GBK" w:hAnsi="方正楷体_GBK" w:eastAsia="方正楷体_GBK" w:cs="方正楷体_GBK"/>
          <w:bCs/>
          <w:color w:val="auto"/>
          <w:kern w:val="1"/>
          <w:sz w:val="32"/>
          <w:szCs w:val="32"/>
          <w:highlight w:val="none"/>
          <w:lang w:eastAsia="zh-CN"/>
        </w:rPr>
        <w:t>七</w:t>
      </w:r>
      <w:r>
        <w:rPr>
          <w:rFonts w:hint="eastAsia" w:ascii="方正楷体_GBK" w:hAnsi="方正楷体_GBK" w:eastAsia="方正楷体_GBK" w:cs="方正楷体_GBK"/>
          <w:bCs/>
          <w:color w:val="auto"/>
          <w:kern w:val="1"/>
          <w:sz w:val="32"/>
          <w:szCs w:val="32"/>
          <w:highlight w:val="none"/>
        </w:rPr>
        <w:t>）</w:t>
      </w:r>
      <w:r>
        <w:rPr>
          <w:rFonts w:hint="eastAsia" w:ascii="方正仿宋简体" w:hAnsi="方正仿宋简体" w:eastAsia="方正仿宋简体" w:cs="方正仿宋简体"/>
          <w:bCs/>
          <w:color w:val="auto"/>
          <w:kern w:val="1"/>
          <w:sz w:val="32"/>
          <w:szCs w:val="32"/>
          <w:highlight w:val="none"/>
        </w:rPr>
        <w:t>投标人应详细阅读本招标书，参与报价投标即视为对本招标书所列之条款均表示接受。</w:t>
      </w:r>
    </w:p>
    <w:p>
      <w:pPr>
        <w:widowControl w:val="0"/>
        <w:kinsoku/>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bCs/>
          <w:color w:val="auto"/>
          <w:kern w:val="1"/>
          <w:sz w:val="32"/>
          <w:szCs w:val="32"/>
          <w:highlight w:val="none"/>
        </w:rPr>
      </w:pPr>
      <w:r>
        <w:rPr>
          <w:rFonts w:hint="eastAsia" w:ascii="方正楷体_GBK" w:hAnsi="方正楷体_GBK" w:eastAsia="方正楷体_GBK" w:cs="方正楷体_GBK"/>
          <w:bCs/>
          <w:color w:val="auto"/>
          <w:kern w:val="1"/>
          <w:sz w:val="32"/>
          <w:szCs w:val="32"/>
          <w:highlight w:val="none"/>
        </w:rPr>
        <w:t>（</w:t>
      </w:r>
      <w:r>
        <w:rPr>
          <w:rFonts w:hint="eastAsia" w:ascii="方正楷体_GBK" w:hAnsi="方正楷体_GBK" w:eastAsia="方正楷体_GBK" w:cs="方正楷体_GBK"/>
          <w:bCs/>
          <w:color w:val="auto"/>
          <w:kern w:val="1"/>
          <w:sz w:val="32"/>
          <w:szCs w:val="32"/>
          <w:highlight w:val="none"/>
          <w:lang w:eastAsia="zh-CN"/>
        </w:rPr>
        <w:t>八</w:t>
      </w:r>
      <w:r>
        <w:rPr>
          <w:rFonts w:hint="eastAsia" w:ascii="方正楷体_GBK" w:hAnsi="方正楷体_GBK" w:eastAsia="方正楷体_GBK" w:cs="方正楷体_GBK"/>
          <w:bCs/>
          <w:color w:val="auto"/>
          <w:kern w:val="1"/>
          <w:sz w:val="32"/>
          <w:szCs w:val="32"/>
          <w:highlight w:val="none"/>
        </w:rPr>
        <w:t>）</w:t>
      </w:r>
      <w:r>
        <w:rPr>
          <w:rFonts w:hint="eastAsia" w:ascii="方正仿宋简体" w:hAnsi="方正仿宋简体" w:eastAsia="方正仿宋简体" w:cs="方正仿宋简体"/>
          <w:bCs/>
          <w:color w:val="auto"/>
          <w:kern w:val="1"/>
          <w:sz w:val="32"/>
          <w:szCs w:val="32"/>
          <w:highlight w:val="none"/>
        </w:rPr>
        <w:t>招标人对违反约定的投标人或中标人将按《镇江海纳川物流产业发展有限责任公司招标采购管理规定</w:t>
      </w:r>
      <w:r>
        <w:rPr>
          <w:rFonts w:hint="eastAsia" w:ascii="方正仿宋简体" w:hAnsi="方正仿宋简体" w:eastAsia="方正仿宋简体" w:cs="方正仿宋简体"/>
          <w:bCs/>
          <w:color w:val="auto"/>
          <w:kern w:val="1"/>
          <w:sz w:val="32"/>
          <w:szCs w:val="32"/>
          <w:highlight w:val="none"/>
          <w:lang w:eastAsia="zh-CN"/>
        </w:rPr>
        <w:t>》</w:t>
      </w:r>
      <w:r>
        <w:rPr>
          <w:rFonts w:hint="eastAsia" w:ascii="方正仿宋简体" w:hAnsi="方正仿宋简体" w:eastAsia="方正仿宋简体" w:cs="方正仿宋简体"/>
          <w:bCs/>
          <w:color w:val="auto"/>
          <w:kern w:val="1"/>
          <w:sz w:val="32"/>
          <w:szCs w:val="32"/>
          <w:highlight w:val="none"/>
          <w:lang w:val="en-US" w:eastAsia="zh-CN"/>
        </w:rPr>
        <w:t>中供应商管理</w:t>
      </w:r>
      <w:r>
        <w:rPr>
          <w:rFonts w:hint="eastAsia" w:ascii="方正仿宋简体" w:hAnsi="方正仿宋简体" w:eastAsia="方正仿宋简体" w:cs="方正仿宋简体"/>
          <w:bCs/>
          <w:color w:val="auto"/>
          <w:kern w:val="1"/>
          <w:sz w:val="32"/>
          <w:szCs w:val="32"/>
          <w:highlight w:val="none"/>
        </w:rPr>
        <w:t>对投标人进行管理考核（详见附件</w:t>
      </w:r>
      <w:r>
        <w:rPr>
          <w:rFonts w:hint="eastAsia" w:ascii="方正仿宋简体" w:hAnsi="方正仿宋简体" w:eastAsia="方正仿宋简体" w:cs="方正仿宋简体"/>
          <w:bCs/>
          <w:color w:val="auto"/>
          <w:kern w:val="1"/>
          <w:sz w:val="32"/>
          <w:szCs w:val="32"/>
          <w:highlight w:val="none"/>
          <w:lang w:val="en-US" w:eastAsia="zh-CN"/>
        </w:rPr>
        <w:t>1</w:t>
      </w:r>
      <w:r>
        <w:rPr>
          <w:rFonts w:hint="eastAsia" w:ascii="方正仿宋简体" w:hAnsi="方正仿宋简体" w:eastAsia="方正仿宋简体" w:cs="方正仿宋简体"/>
          <w:bCs/>
          <w:color w:val="auto"/>
          <w:kern w:val="1"/>
          <w:sz w:val="32"/>
          <w:szCs w:val="32"/>
          <w:highlight w:val="none"/>
        </w:rPr>
        <w:t>）。</w:t>
      </w:r>
    </w:p>
    <w:p>
      <w:pPr>
        <w:pStyle w:val="2"/>
        <w:widowControl w:val="0"/>
        <w:kinsoku/>
        <w:overflowPunct/>
        <w:topLinePunct w:val="0"/>
        <w:autoSpaceDE/>
        <w:autoSpaceDN/>
        <w:bidi w:val="0"/>
        <w:spacing w:after="0" w:line="600" w:lineRule="exact"/>
        <w:ind w:firstLine="640" w:firstLineChars="200"/>
        <w:textAlignment w:val="auto"/>
        <w:rPr>
          <w:rFonts w:hint="eastAsia" w:ascii="方正仿宋简体" w:hAnsi="方正仿宋简体" w:eastAsia="方正仿宋简体" w:cs="方正仿宋简体"/>
          <w:sz w:val="32"/>
          <w:szCs w:val="32"/>
          <w:highlight w:val="none"/>
          <w:lang w:eastAsia="zh-CN"/>
        </w:rPr>
      </w:pPr>
      <w:r>
        <w:rPr>
          <w:rFonts w:hint="eastAsia" w:ascii="方正楷体_GBK" w:hAnsi="方正楷体_GBK" w:eastAsia="方正楷体_GBK" w:cs="方正楷体_GBK"/>
          <w:bCs/>
          <w:color w:val="auto"/>
          <w:kern w:val="1"/>
          <w:sz w:val="32"/>
          <w:szCs w:val="32"/>
          <w:highlight w:val="none"/>
          <w:lang w:eastAsia="zh-CN"/>
        </w:rPr>
        <w:t>（九）</w:t>
      </w:r>
      <w:r>
        <w:rPr>
          <w:rFonts w:hint="eastAsia" w:ascii="方正仿宋简体" w:hAnsi="方正仿宋简体" w:eastAsia="方正仿宋简体" w:cs="方正仿宋简体"/>
          <w:bCs/>
          <w:color w:val="auto"/>
          <w:kern w:val="1"/>
          <w:sz w:val="32"/>
          <w:szCs w:val="32"/>
          <w:highlight w:val="none"/>
          <w:lang w:val="en-US" w:eastAsia="zh-CN" w:bidi="ar-SA"/>
        </w:rPr>
        <w:t>外协作业人员需先进行安全教育培训</w:t>
      </w:r>
      <w:r>
        <w:rPr>
          <w:rFonts w:hint="eastAsia" w:ascii="方正仿宋简体" w:hAnsi="方正仿宋简体" w:eastAsia="方正仿宋简体" w:cs="方正仿宋简体"/>
          <w:bCs/>
          <w:color w:val="auto"/>
          <w:kern w:val="1"/>
          <w:sz w:val="32"/>
          <w:szCs w:val="32"/>
          <w:highlight w:val="none"/>
          <w:lang w:eastAsia="zh-CN"/>
        </w:rPr>
        <w:t>。</w:t>
      </w:r>
    </w:p>
    <w:p>
      <w:pPr>
        <w:widowControl w:val="0"/>
        <w:kinsoku/>
        <w:overflowPunct/>
        <w:topLinePunct w:val="0"/>
        <w:autoSpaceDE/>
        <w:autoSpaceDN/>
        <w:bidi w:val="0"/>
        <w:adjustRightInd w:val="0"/>
        <w:snapToGrid w:val="0"/>
        <w:spacing w:line="600" w:lineRule="exact"/>
        <w:ind w:firstLine="640" w:firstLineChars="200"/>
        <w:textAlignment w:val="auto"/>
        <w:rPr>
          <w:rFonts w:hint="eastAsia" w:ascii="方正仿宋简体" w:hAnsi="方正仿宋简体" w:eastAsia="方正仿宋简体" w:cs="方正仿宋简体"/>
          <w:bCs/>
          <w:color w:val="auto"/>
          <w:kern w:val="1"/>
          <w:sz w:val="32"/>
          <w:szCs w:val="32"/>
        </w:rPr>
      </w:pPr>
      <w:r>
        <w:rPr>
          <w:rFonts w:hint="eastAsia" w:ascii="方正楷体_GBK" w:hAnsi="方正楷体_GBK" w:eastAsia="方正楷体_GBK" w:cs="方正楷体_GBK"/>
          <w:bCs/>
          <w:color w:val="auto"/>
          <w:kern w:val="1"/>
          <w:sz w:val="32"/>
          <w:szCs w:val="32"/>
          <w:highlight w:val="none"/>
        </w:rPr>
        <w:t>（</w:t>
      </w:r>
      <w:r>
        <w:rPr>
          <w:rFonts w:hint="eastAsia" w:ascii="方正楷体_GBK" w:hAnsi="方正楷体_GBK" w:eastAsia="方正楷体_GBK" w:cs="方正楷体_GBK"/>
          <w:bCs/>
          <w:color w:val="auto"/>
          <w:kern w:val="1"/>
          <w:sz w:val="32"/>
          <w:szCs w:val="32"/>
          <w:highlight w:val="none"/>
          <w:lang w:eastAsia="zh-CN"/>
        </w:rPr>
        <w:t>十</w:t>
      </w:r>
      <w:r>
        <w:rPr>
          <w:rFonts w:hint="eastAsia" w:ascii="方正楷体_GBK" w:hAnsi="方正楷体_GBK" w:eastAsia="方正楷体_GBK" w:cs="方正楷体_GBK"/>
          <w:bCs/>
          <w:color w:val="auto"/>
          <w:kern w:val="1"/>
          <w:sz w:val="32"/>
          <w:szCs w:val="32"/>
          <w:highlight w:val="none"/>
        </w:rPr>
        <w:t>）</w:t>
      </w:r>
      <w:r>
        <w:rPr>
          <w:rFonts w:hint="eastAsia" w:ascii="方正仿宋简体" w:hAnsi="方正仿宋简体" w:eastAsia="方正仿宋简体" w:cs="方正仿宋简体"/>
          <w:bCs/>
          <w:color w:val="auto"/>
          <w:kern w:val="1"/>
          <w:sz w:val="32"/>
          <w:szCs w:val="32"/>
          <w:highlight w:val="none"/>
        </w:rPr>
        <w:t>本次招标</w:t>
      </w:r>
      <w:r>
        <w:rPr>
          <w:rFonts w:hint="eastAsia" w:ascii="方正仿宋简体" w:hAnsi="方正仿宋简体" w:eastAsia="方正仿宋简体" w:cs="方正仿宋简体"/>
          <w:bCs/>
          <w:color w:val="auto"/>
          <w:kern w:val="1"/>
          <w:sz w:val="32"/>
          <w:szCs w:val="32"/>
          <w:highlight w:val="none"/>
          <w:lang w:val="en-US" w:eastAsia="zh-CN"/>
        </w:rPr>
        <w:t>为企业自主公开招标，属生产经营性商务行为，</w:t>
      </w:r>
      <w:r>
        <w:rPr>
          <w:rFonts w:hint="eastAsia" w:ascii="方正仿宋简体" w:hAnsi="方正仿宋简体" w:eastAsia="方正仿宋简体" w:cs="方正仿宋简体"/>
          <w:bCs/>
          <w:color w:val="auto"/>
          <w:kern w:val="1"/>
          <w:sz w:val="32"/>
          <w:szCs w:val="32"/>
          <w:highlight w:val="none"/>
        </w:rPr>
        <w:t>解释权归</w:t>
      </w:r>
      <w:r>
        <w:rPr>
          <w:rFonts w:hint="eastAsia" w:ascii="方正仿宋简体" w:hAnsi="方正仿宋简体" w:eastAsia="方正仿宋简体" w:cs="方正仿宋简体"/>
          <w:bCs/>
          <w:color w:val="auto"/>
          <w:kern w:val="1"/>
          <w:sz w:val="32"/>
          <w:szCs w:val="32"/>
          <w:highlight w:val="none"/>
          <w:lang w:val="en-US" w:eastAsia="zh-CN"/>
        </w:rPr>
        <w:t>镇江海纳川物流产业发展有限责任公司</w:t>
      </w:r>
      <w:r>
        <w:rPr>
          <w:rFonts w:hint="eastAsia" w:ascii="方正仿宋简体" w:hAnsi="方正仿宋简体" w:eastAsia="方正仿宋简体" w:cs="方正仿宋简体"/>
          <w:bCs/>
          <w:color w:val="auto"/>
          <w:kern w:val="1"/>
          <w:sz w:val="32"/>
          <w:szCs w:val="32"/>
          <w:highlight w:val="none"/>
        </w:rPr>
        <w:t>所有。</w:t>
      </w:r>
      <w:r>
        <w:rPr>
          <w:rFonts w:hint="eastAsia" w:ascii="方正仿宋简体" w:hAnsi="方正仿宋简体" w:eastAsia="方正仿宋简体" w:cs="方正仿宋简体"/>
          <w:bCs/>
          <w:color w:val="auto"/>
          <w:kern w:val="1"/>
          <w:sz w:val="32"/>
          <w:szCs w:val="32"/>
        </w:rPr>
        <w:t>　　</w:t>
      </w:r>
    </w:p>
    <w:p>
      <w:pPr>
        <w:rPr>
          <w:rFonts w:hint="eastAsia"/>
        </w:rPr>
      </w:pPr>
      <w:r>
        <w:rPr>
          <w:rFonts w:hint="eastAsia" w:ascii="方正仿宋简体" w:hAnsi="方正仿宋简体" w:eastAsia="方正仿宋简体" w:cs="方正仿宋简体"/>
          <w:bCs/>
          <w:color w:val="auto"/>
          <w:kern w:val="1"/>
          <w:sz w:val="32"/>
          <w:szCs w:val="32"/>
        </w:rPr>
        <w:br w:type="page"/>
      </w:r>
    </w:p>
    <w:p>
      <w:pPr>
        <w:pStyle w:val="4"/>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报价函</w:t>
      </w:r>
    </w:p>
    <w:p>
      <w:pPr>
        <w:keepNext w:val="0"/>
        <w:keepLines w:val="0"/>
        <w:pageBreakBefore w:val="0"/>
        <w:widowControl w:val="0"/>
        <w:tabs>
          <w:tab w:val="left" w:pos="180"/>
        </w:tabs>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color w:val="auto"/>
          <w:kern w:val="1"/>
          <w:sz w:val="32"/>
          <w:szCs w:val="32"/>
        </w:rPr>
      </w:pPr>
      <w:r>
        <w:rPr>
          <w:rFonts w:hint="eastAsia" w:ascii="方正仿宋简体" w:hAnsi="方正仿宋简体" w:eastAsia="方正仿宋简体" w:cs="方正仿宋简体"/>
          <w:color w:val="auto"/>
          <w:kern w:val="1"/>
          <w:sz w:val="32"/>
          <w:szCs w:val="32"/>
          <w:lang w:val="en-US" w:eastAsia="zh-CN"/>
        </w:rPr>
        <w:t>镇江海纳川物流产业发展有限责任公司</w:t>
      </w:r>
      <w:r>
        <w:rPr>
          <w:rFonts w:hint="eastAsia" w:ascii="方正仿宋简体" w:hAnsi="方正仿宋简体" w:eastAsia="方正仿宋简体" w:cs="方正仿宋简体"/>
          <w:color w:val="auto"/>
          <w:kern w:val="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color w:val="auto"/>
          <w:kern w:val="1"/>
          <w:sz w:val="32"/>
          <w:szCs w:val="32"/>
        </w:rPr>
      </w:pPr>
      <w:r>
        <w:rPr>
          <w:rFonts w:hint="eastAsia" w:ascii="方正仿宋简体" w:hAnsi="方正仿宋简体" w:eastAsia="方正仿宋简体" w:cs="方正仿宋简体"/>
          <w:color w:val="auto"/>
          <w:kern w:val="1"/>
          <w:sz w:val="32"/>
          <w:szCs w:val="32"/>
          <w:u w:val="none"/>
        </w:rPr>
        <w:t>投标单位全称</w:t>
      </w:r>
      <w:r>
        <w:rPr>
          <w:rFonts w:hint="eastAsia" w:ascii="方正仿宋简体" w:hAnsi="方正仿宋简体" w:eastAsia="方正仿宋简体" w:cs="方正仿宋简体"/>
          <w:color w:val="auto"/>
          <w:kern w:val="1"/>
          <w:sz w:val="32"/>
          <w:szCs w:val="32"/>
          <w:u w:val="none"/>
          <w:lang w:eastAsia="zh-CN"/>
        </w:rPr>
        <w:t>：</w:t>
      </w:r>
      <w:r>
        <w:rPr>
          <w:rFonts w:hint="eastAsia" w:ascii="方正仿宋简体" w:hAnsi="方正仿宋简体" w:eastAsia="方正仿宋简体" w:cs="方正仿宋简体"/>
          <w:color w:val="auto"/>
          <w:kern w:val="1"/>
          <w:sz w:val="32"/>
          <w:szCs w:val="32"/>
          <w:u w:val="single"/>
          <w:lang w:val="en-US" w:eastAsia="zh-CN"/>
        </w:rPr>
        <w:t xml:space="preserve">          </w:t>
      </w:r>
      <w:r>
        <w:rPr>
          <w:rFonts w:hint="eastAsia" w:ascii="方正仿宋简体" w:hAnsi="方正仿宋简体" w:eastAsia="方正仿宋简体" w:cs="方正仿宋简体"/>
          <w:color w:val="auto"/>
          <w:kern w:val="1"/>
          <w:sz w:val="32"/>
          <w:szCs w:val="32"/>
          <w:u w:val="none"/>
          <w:lang w:val="en-US" w:eastAsia="zh-CN"/>
        </w:rPr>
        <w:t>；</w:t>
      </w:r>
      <w:r>
        <w:rPr>
          <w:rFonts w:hint="eastAsia" w:ascii="方正仿宋简体" w:hAnsi="方正仿宋简体" w:eastAsia="方正仿宋简体" w:cs="方正仿宋简体"/>
          <w:color w:val="auto"/>
          <w:kern w:val="1"/>
          <w:sz w:val="32"/>
          <w:szCs w:val="32"/>
        </w:rPr>
        <w:t>授权</w:t>
      </w:r>
      <w:r>
        <w:rPr>
          <w:rFonts w:hint="eastAsia" w:ascii="方正仿宋简体" w:hAnsi="方正仿宋简体" w:eastAsia="方正仿宋简体" w:cs="方正仿宋简体"/>
          <w:color w:val="auto"/>
          <w:kern w:val="1"/>
          <w:sz w:val="32"/>
          <w:szCs w:val="32"/>
          <w:u w:val="none"/>
        </w:rPr>
        <w:t>全权代表姓名</w:t>
      </w:r>
      <w:r>
        <w:rPr>
          <w:rFonts w:hint="eastAsia" w:ascii="方正仿宋简体" w:hAnsi="方正仿宋简体" w:eastAsia="方正仿宋简体" w:cs="方正仿宋简体"/>
          <w:color w:val="auto"/>
          <w:kern w:val="1"/>
          <w:sz w:val="32"/>
          <w:szCs w:val="32"/>
          <w:u w:val="none"/>
          <w:lang w:eastAsia="zh-CN"/>
        </w:rPr>
        <w:t>、</w:t>
      </w:r>
      <w:r>
        <w:rPr>
          <w:rFonts w:hint="eastAsia" w:ascii="方正仿宋简体" w:hAnsi="方正仿宋简体" w:eastAsia="方正仿宋简体" w:cs="方正仿宋简体"/>
          <w:color w:val="auto"/>
          <w:kern w:val="1"/>
          <w:sz w:val="32"/>
          <w:szCs w:val="32"/>
          <w:u w:val="none"/>
        </w:rPr>
        <w:t>职务、职称</w:t>
      </w:r>
      <w:r>
        <w:rPr>
          <w:rFonts w:hint="eastAsia" w:ascii="方正仿宋简体" w:hAnsi="方正仿宋简体" w:eastAsia="方正仿宋简体" w:cs="方正仿宋简体"/>
          <w:color w:val="auto"/>
          <w:kern w:val="1"/>
          <w:sz w:val="32"/>
          <w:szCs w:val="32"/>
          <w:u w:val="none"/>
          <w:lang w:eastAsia="zh-CN"/>
        </w:rPr>
        <w:t>：</w:t>
      </w:r>
      <w:r>
        <w:rPr>
          <w:rFonts w:hint="eastAsia" w:ascii="方正仿宋简体" w:hAnsi="方正仿宋简体" w:eastAsia="方正仿宋简体" w:cs="方正仿宋简体"/>
          <w:color w:val="auto"/>
          <w:kern w:val="1"/>
          <w:sz w:val="32"/>
          <w:szCs w:val="32"/>
          <w:u w:val="single"/>
          <w:lang w:val="en-US" w:eastAsia="zh-CN"/>
        </w:rPr>
        <w:t xml:space="preserve">       </w:t>
      </w:r>
      <w:r>
        <w:rPr>
          <w:rFonts w:hint="eastAsia" w:ascii="方正仿宋简体" w:hAnsi="方正仿宋简体" w:eastAsia="方正仿宋简体" w:cs="方正仿宋简体"/>
          <w:color w:val="auto"/>
          <w:kern w:val="1"/>
          <w:sz w:val="32"/>
          <w:szCs w:val="32"/>
        </w:rPr>
        <w:t>为全权代表，参加贵方组织的招标有关活动，并对该项目进行投标。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color w:val="FF0000"/>
          <w:kern w:val="1"/>
          <w:sz w:val="32"/>
          <w:szCs w:val="32"/>
          <w:lang w:eastAsia="zh-CN"/>
        </w:rPr>
      </w:pPr>
      <w:r>
        <w:rPr>
          <w:rFonts w:hint="eastAsia" w:ascii="方正仿宋简体" w:hAnsi="方正仿宋简体" w:eastAsia="方正仿宋简体" w:cs="方正仿宋简体"/>
          <w:color w:val="auto"/>
          <w:kern w:val="1"/>
          <w:sz w:val="32"/>
          <w:szCs w:val="32"/>
          <w:lang w:eastAsia="zh-CN"/>
        </w:rPr>
        <w:t>一</w:t>
      </w:r>
      <w:r>
        <w:rPr>
          <w:rFonts w:hint="eastAsia" w:ascii="方正仿宋简体" w:hAnsi="方正仿宋简体" w:eastAsia="方正仿宋简体" w:cs="方正仿宋简体"/>
          <w:color w:val="auto"/>
          <w:kern w:val="1"/>
          <w:sz w:val="32"/>
          <w:szCs w:val="32"/>
          <w:lang w:val="en-US" w:eastAsia="zh-CN"/>
        </w:rPr>
        <w:t>、</w:t>
      </w:r>
      <w:r>
        <w:rPr>
          <w:rFonts w:hint="eastAsia" w:ascii="方正仿宋简体" w:hAnsi="方正仿宋简体" w:eastAsia="方正仿宋简体" w:cs="方正仿宋简体"/>
          <w:color w:val="auto"/>
          <w:kern w:val="1"/>
          <w:sz w:val="32"/>
          <w:szCs w:val="32"/>
        </w:rPr>
        <w:t>投标项目的总投标价（含税）为</w:t>
      </w:r>
      <w:r>
        <w:rPr>
          <w:rFonts w:hint="eastAsia" w:ascii="方正仿宋简体" w:hAnsi="方正仿宋简体" w:eastAsia="方正仿宋简体" w:cs="方正仿宋简体"/>
          <w:color w:val="auto"/>
          <w:kern w:val="1"/>
          <w:sz w:val="32"/>
          <w:szCs w:val="32"/>
          <w:u w:val="single"/>
        </w:rPr>
        <w:softHyphen/>
      </w:r>
      <w:r>
        <w:rPr>
          <w:rFonts w:hint="eastAsia" w:ascii="方正仿宋简体" w:hAnsi="方正仿宋简体" w:eastAsia="方正仿宋简体" w:cs="方正仿宋简体"/>
          <w:color w:val="auto"/>
          <w:kern w:val="1"/>
          <w:sz w:val="32"/>
          <w:szCs w:val="32"/>
          <w:u w:val="single"/>
        </w:rPr>
        <w:t xml:space="preserve">            </w:t>
      </w:r>
      <w:r>
        <w:rPr>
          <w:rFonts w:hint="eastAsia" w:ascii="方正仿宋简体" w:hAnsi="方正仿宋简体" w:eastAsia="方正仿宋简体" w:cs="方正仿宋简体"/>
          <w:color w:val="auto"/>
          <w:kern w:val="1"/>
          <w:sz w:val="32"/>
          <w:szCs w:val="32"/>
        </w:rPr>
        <w:t>(大写)：</w:t>
      </w:r>
      <w:r>
        <w:rPr>
          <w:rFonts w:hint="eastAsia" w:ascii="方正仿宋简体" w:hAnsi="方正仿宋简体" w:eastAsia="方正仿宋简体" w:cs="方正仿宋简体"/>
          <w:color w:val="auto"/>
          <w:kern w:val="1"/>
          <w:sz w:val="32"/>
          <w:szCs w:val="32"/>
          <w:u w:val="single"/>
        </w:rPr>
        <w:t xml:space="preserve">             </w:t>
      </w:r>
      <w:r>
        <w:rPr>
          <w:rFonts w:hint="eastAsia" w:ascii="方正仿宋简体" w:hAnsi="方正仿宋简体" w:eastAsia="方正仿宋简体" w:cs="方正仿宋简体"/>
          <w:color w:val="auto"/>
          <w:kern w:val="1"/>
          <w:sz w:val="32"/>
          <w:szCs w:val="32"/>
        </w:rPr>
        <w:t>元人民币；税率</w:t>
      </w:r>
      <w:r>
        <w:rPr>
          <w:rFonts w:hint="eastAsia" w:ascii="方正仿宋简体" w:hAnsi="方正仿宋简体" w:eastAsia="方正仿宋简体" w:cs="方正仿宋简体"/>
          <w:color w:val="auto"/>
          <w:kern w:val="1"/>
          <w:sz w:val="32"/>
          <w:szCs w:val="32"/>
          <w:u w:val="single"/>
        </w:rPr>
        <w:t xml:space="preserve">       </w:t>
      </w:r>
      <w:r>
        <w:rPr>
          <w:rFonts w:hint="eastAsia" w:ascii="方正仿宋简体" w:hAnsi="方正仿宋简体" w:eastAsia="方正仿宋简体" w:cs="方正仿宋简体"/>
          <w:color w:val="auto"/>
          <w:kern w:val="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报价格式</w:t>
      </w:r>
    </w:p>
    <w:tbl>
      <w:tblPr>
        <w:tblStyle w:val="13"/>
        <w:tblW w:w="85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9"/>
        <w:gridCol w:w="4071"/>
        <w:gridCol w:w="225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544" w:type="dxa"/>
            <w:gridSpan w:val="4"/>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000000"/>
                <w:kern w:val="0"/>
                <w:sz w:val="32"/>
                <w:szCs w:val="32"/>
                <w:highlight w:val="none"/>
                <w:u w:val="none"/>
                <w:lang w:val="en-US" w:eastAsia="zh-CN" w:bidi="ar"/>
              </w:rPr>
            </w:pPr>
            <w:r>
              <w:rPr>
                <w:rFonts w:hint="eastAsia" w:ascii="宋体" w:hAnsi="宋体" w:eastAsia="宋体" w:cs="宋体"/>
                <w:i w:val="0"/>
                <w:iCs w:val="0"/>
                <w:color w:val="000000"/>
                <w:kern w:val="0"/>
                <w:sz w:val="32"/>
                <w:szCs w:val="32"/>
                <w:highlight w:val="none"/>
                <w:u w:val="none"/>
                <w:lang w:val="en-US" w:eastAsia="zh-CN" w:bidi="ar"/>
              </w:rPr>
              <w:t>镇江海纳川公铁运输有限公司</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highlight w:val="none"/>
                <w:u w:val="none"/>
                <w:lang w:val="en-US" w:eastAsia="zh-CN" w:bidi="ar"/>
              </w:rPr>
              <w:t>车辆承运人责任险报价表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牌照号码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苏L8185挂/苏L60260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苏L8656挂/苏L60786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苏L8856挂/苏L83121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苏L8802挂/苏L51337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苏L6509挂/苏L21176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苏L25179/苏L6398挂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highlight w:val="none"/>
                <w:u w:val="none"/>
              </w:rPr>
            </w:pPr>
          </w:p>
        </w:tc>
      </w:tr>
    </w:tbl>
    <w:p>
      <w:pPr>
        <w:pStyle w:val="12"/>
        <w:ind w:left="0" w:leftChars="0" w:firstLine="0" w:firstLineChars="0"/>
        <w:rPr>
          <w:rFonts w:hint="eastAsia"/>
          <w:highlight w:val="none"/>
          <w:u w:val="none"/>
          <w:lang w:val="en-US" w:eastAsia="zh-CN"/>
        </w:rPr>
      </w:pPr>
    </w:p>
    <w:tbl>
      <w:tblPr>
        <w:tblStyle w:val="13"/>
        <w:tblW w:w="82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8"/>
        <w:gridCol w:w="1216"/>
        <w:gridCol w:w="1913"/>
        <w:gridCol w:w="2040"/>
        <w:gridCol w:w="2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75" w:type="dxa"/>
            <w:gridSpan w:val="5"/>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000000"/>
                <w:kern w:val="0"/>
                <w:sz w:val="32"/>
                <w:szCs w:val="32"/>
                <w:highlight w:val="none"/>
                <w:u w:val="none"/>
                <w:lang w:val="en-US" w:eastAsia="zh-CN" w:bidi="ar"/>
              </w:rPr>
            </w:pPr>
            <w:r>
              <w:rPr>
                <w:rFonts w:hint="eastAsia" w:ascii="宋体" w:hAnsi="宋体" w:eastAsia="宋体" w:cs="宋体"/>
                <w:i w:val="0"/>
                <w:iCs w:val="0"/>
                <w:color w:val="000000"/>
                <w:kern w:val="0"/>
                <w:sz w:val="32"/>
                <w:szCs w:val="32"/>
                <w:highlight w:val="none"/>
                <w:u w:val="none"/>
                <w:lang w:val="en-US" w:eastAsia="zh-CN" w:bidi="ar"/>
              </w:rPr>
              <w:t>镇江海纳川公铁运输有限公司</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ascii="仿宋" w:hAnsi="仿宋" w:eastAsia="仿宋" w:cs="仿宋"/>
                <w:i w:val="0"/>
                <w:iCs w:val="0"/>
                <w:color w:val="000000"/>
                <w:sz w:val="36"/>
                <w:szCs w:val="36"/>
                <w:highlight w:val="none"/>
                <w:u w:val="none"/>
              </w:rPr>
            </w:pPr>
            <w:r>
              <w:rPr>
                <w:rFonts w:hint="eastAsia" w:ascii="宋体" w:hAnsi="宋体" w:eastAsia="宋体" w:cs="宋体"/>
                <w:i w:val="0"/>
                <w:iCs w:val="0"/>
                <w:color w:val="000000"/>
                <w:kern w:val="0"/>
                <w:sz w:val="32"/>
                <w:szCs w:val="32"/>
                <w:highlight w:val="none"/>
                <w:u w:val="none"/>
                <w:lang w:val="en-US" w:eastAsia="zh-CN" w:bidi="ar"/>
              </w:rPr>
              <w:t>车辆保险险种报价表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275" w:type="dxa"/>
            <w:gridSpan w:val="5"/>
            <w:vMerge w:val="continue"/>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36"/>
                <w:szCs w:val="3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1"/>
                <w:highlight w:val="none"/>
                <w:lang w:val="en-US" w:eastAsia="zh-CN" w:bidi="ar"/>
              </w:rPr>
              <w:t>序号</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公铁公司车牌号</w:t>
            </w:r>
          </w:p>
        </w:tc>
        <w:tc>
          <w:tcPr>
            <w:tcW w:w="3953"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Style w:val="21"/>
                <w:highlight w:val="none"/>
                <w:lang w:val="en-US" w:eastAsia="zh-CN" w:bidi="ar"/>
              </w:rPr>
              <w:t>险种</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highlight w:val="none"/>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highlight w:val="none"/>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交强险及车船税</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机动车商业保险</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Style w:val="21"/>
                <w:highlight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苏L25179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苏L51337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苏L60260</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苏L60786</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苏L83121</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苏L6398挂</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苏L6509挂</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苏L5210挂</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苏L8856挂</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苏L8802挂</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苏L8656挂</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苏L8185挂</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苏L537A9</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苏L607Y7</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苏LG733Z</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17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21"/>
                <w:lang w:val="en-US" w:eastAsia="zh-CN" w:bidi="ar"/>
              </w:rPr>
              <w:t>合计</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27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注：报价按商业险及交强险未出险计算，保费因交强险及商业险出险因素影响及过户因素，保费以实际出单为准。</w:t>
            </w:r>
            <w:r>
              <w:rPr>
                <w:rStyle w:val="22"/>
                <w:lang w:val="en-US" w:eastAsia="zh-CN" w:bidi="ar"/>
              </w:rPr>
              <w:t>投保险种参照保险项目清单。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27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75" w:type="dxa"/>
            <w:gridSpan w:val="5"/>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Style w:val="21"/>
                <w:lang w:val="en-US" w:eastAsia="zh-CN" w:bidi="ar"/>
              </w:rPr>
              <w:t>报价联系人：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75" w:type="dxa"/>
            <w:gridSpan w:val="5"/>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Style w:val="21"/>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75" w:type="dxa"/>
            <w:gridSpan w:val="5"/>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Style w:val="21"/>
                <w:lang w:val="en-US" w:eastAsia="zh-CN" w:bidi="ar"/>
              </w:rPr>
              <w:t>投标单位盖章           （此报价表需独立密封封装）</w:t>
            </w:r>
          </w:p>
        </w:tc>
      </w:tr>
    </w:tbl>
    <w:p>
      <w:pPr>
        <w:pStyle w:val="12"/>
        <w:ind w:left="0" w:leftChars="0" w:firstLine="0" w:firstLineChars="0"/>
        <w:rPr>
          <w:rFonts w:hint="eastAsia"/>
          <w:u w:val="none"/>
          <w:lang w:val="en-US" w:eastAsia="zh-CN"/>
        </w:rPr>
      </w:pPr>
    </w:p>
    <w:tbl>
      <w:tblPr>
        <w:tblStyle w:val="13"/>
        <w:tblW w:w="82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296"/>
        <w:gridCol w:w="1999"/>
        <w:gridCol w:w="1997"/>
        <w:gridCol w:w="2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263" w:type="dxa"/>
            <w:gridSpan w:val="5"/>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宋体" w:hAnsi="宋体" w:eastAsia="宋体" w:cs="宋体"/>
                <w:i w:val="0"/>
                <w:iCs w:val="0"/>
                <w:color w:val="000000"/>
                <w:kern w:val="0"/>
                <w:sz w:val="32"/>
                <w:szCs w:val="32"/>
                <w:highlight w:val="none"/>
                <w:u w:val="none"/>
                <w:lang w:val="en-US" w:eastAsia="zh-CN" w:bidi="ar"/>
              </w:rPr>
            </w:pPr>
            <w:r>
              <w:rPr>
                <w:rFonts w:hint="eastAsia" w:ascii="宋体" w:hAnsi="宋体" w:eastAsia="宋体" w:cs="宋体"/>
                <w:i w:val="0"/>
                <w:iCs w:val="0"/>
                <w:color w:val="000000"/>
                <w:kern w:val="0"/>
                <w:sz w:val="32"/>
                <w:szCs w:val="32"/>
                <w:highlight w:val="none"/>
                <w:u w:val="none"/>
                <w:lang w:val="en-US" w:eastAsia="zh-CN" w:bidi="ar"/>
              </w:rPr>
              <w:t>镇江海纳川物流产业发展有限责任公司</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ascii="仿宋" w:hAnsi="仿宋" w:eastAsia="仿宋" w:cs="仿宋"/>
                <w:i w:val="0"/>
                <w:iCs w:val="0"/>
                <w:color w:val="000000"/>
                <w:sz w:val="36"/>
                <w:szCs w:val="36"/>
                <w:u w:val="none"/>
              </w:rPr>
            </w:pPr>
            <w:r>
              <w:rPr>
                <w:rFonts w:hint="eastAsia" w:ascii="宋体" w:hAnsi="宋体" w:eastAsia="宋体" w:cs="宋体"/>
                <w:i w:val="0"/>
                <w:iCs w:val="0"/>
                <w:color w:val="000000"/>
                <w:kern w:val="0"/>
                <w:sz w:val="32"/>
                <w:szCs w:val="32"/>
                <w:highlight w:val="none"/>
                <w:u w:val="none"/>
                <w:lang w:val="en-US" w:eastAsia="zh-CN" w:bidi="ar"/>
              </w:rPr>
              <w:t>车辆保险险种报价表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263" w:type="dxa"/>
            <w:gridSpan w:val="5"/>
            <w:vMerge w:val="continue"/>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lang w:val="en-US" w:eastAsia="zh-CN" w:bidi="ar"/>
              </w:rPr>
              <w:t>序号</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海纳川公司车牌号</w:t>
            </w:r>
          </w:p>
        </w:tc>
        <w:tc>
          <w:tcPr>
            <w:tcW w:w="399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Style w:val="23"/>
                <w:lang w:val="en-US" w:eastAsia="zh-CN" w:bidi="ar"/>
              </w:rPr>
              <w:t>险种</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交强险及车船税</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机动车商业保险</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Style w:val="23"/>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苏L6F116</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苏L680C9</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苏L3A569</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25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4"/>
                <w:szCs w:val="24"/>
                <w:u w:val="none"/>
              </w:rPr>
            </w:pPr>
            <w:r>
              <w:rPr>
                <w:rStyle w:val="23"/>
                <w:lang w:val="en-US" w:eastAsia="zh-CN" w:bidi="ar"/>
              </w:rPr>
              <w:t>合计</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63"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注：报价按商业险及交强险未出险计算，保费因交强险及商业险出险因素影响及过户因素，保费以实际出单为准。</w:t>
            </w:r>
            <w:r>
              <w:rPr>
                <w:rStyle w:val="24"/>
                <w:lang w:val="en-US" w:eastAsia="zh-CN" w:bidi="ar"/>
              </w:rPr>
              <w:t>投保险种参照保险项目清单。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63"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63" w:type="dxa"/>
            <w:gridSpan w:val="5"/>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Style w:val="23"/>
                <w:lang w:val="en-US" w:eastAsia="zh-CN" w:bidi="ar"/>
              </w:rPr>
              <w:t>报价联系人：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63" w:type="dxa"/>
            <w:gridSpan w:val="5"/>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Style w:val="23"/>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63" w:type="dxa"/>
            <w:gridSpan w:val="5"/>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Style w:val="23"/>
                <w:lang w:val="en-US" w:eastAsia="zh-CN" w:bidi="ar"/>
              </w:rPr>
              <w:t>投标单位盖章           （此报价表需独立密封封装）</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在满足招标人使用要求前提下，以</w:t>
      </w:r>
      <w:r>
        <w:rPr>
          <w:rFonts w:hint="eastAsia" w:ascii="方正仿宋简体" w:hAnsi="方正仿宋简体" w:eastAsia="方正仿宋简体" w:cs="方正仿宋简体"/>
          <w:color w:val="auto"/>
          <w:sz w:val="32"/>
          <w:szCs w:val="32"/>
          <w:lang w:eastAsia="zh-CN"/>
        </w:rPr>
        <w:t>报价格式</w:t>
      </w:r>
      <w:r>
        <w:rPr>
          <w:rFonts w:hint="eastAsia" w:ascii="方正仿宋简体" w:hAnsi="方正仿宋简体" w:eastAsia="方正仿宋简体" w:cs="方正仿宋简体"/>
          <w:color w:val="FF0000"/>
          <w:sz w:val="32"/>
          <w:szCs w:val="32"/>
          <w:lang w:val="en-US" w:eastAsia="zh-CN"/>
        </w:rPr>
        <w:t>总</w:t>
      </w:r>
      <w:r>
        <w:rPr>
          <w:rFonts w:hint="eastAsia" w:ascii="方正仿宋简体" w:hAnsi="方正仿宋简体" w:eastAsia="方正仿宋简体" w:cs="方正仿宋简体"/>
          <w:color w:val="FF0000"/>
          <w:sz w:val="32"/>
          <w:szCs w:val="32"/>
          <w:lang w:eastAsia="zh-CN"/>
        </w:rPr>
        <w:t>价</w:t>
      </w:r>
      <w:r>
        <w:rPr>
          <w:rFonts w:hint="eastAsia" w:ascii="方正仿宋简体" w:hAnsi="方正仿宋简体" w:eastAsia="方正仿宋简体" w:cs="方正仿宋简体"/>
          <w:color w:val="auto"/>
          <w:sz w:val="32"/>
          <w:szCs w:val="32"/>
        </w:rPr>
        <w:t>作为</w:t>
      </w:r>
      <w:r>
        <w:rPr>
          <w:rFonts w:hint="eastAsia" w:ascii="方正仿宋简体" w:hAnsi="方正仿宋简体" w:eastAsia="方正仿宋简体" w:cs="方正仿宋简体"/>
          <w:color w:val="auto"/>
          <w:sz w:val="32"/>
          <w:szCs w:val="32"/>
          <w:lang w:eastAsia="zh-CN"/>
        </w:rPr>
        <w:t>总投标价，总投</w:t>
      </w:r>
      <w:r>
        <w:rPr>
          <w:rFonts w:hint="eastAsia" w:ascii="方正仿宋简体" w:hAnsi="方正仿宋简体" w:eastAsia="方正仿宋简体" w:cs="方正仿宋简体"/>
          <w:color w:val="auto"/>
          <w:sz w:val="32"/>
          <w:szCs w:val="32"/>
          <w:lang w:val="en-US" w:eastAsia="zh-CN"/>
        </w:rPr>
        <w:t>标</w:t>
      </w:r>
      <w:r>
        <w:rPr>
          <w:rFonts w:hint="eastAsia" w:ascii="方正仿宋简体" w:hAnsi="方正仿宋简体" w:eastAsia="方正仿宋简体" w:cs="方正仿宋简体"/>
          <w:color w:val="auto"/>
          <w:sz w:val="32"/>
          <w:szCs w:val="32"/>
          <w:lang w:eastAsia="zh-CN"/>
        </w:rPr>
        <w:t>价只为确定中标单位作依据。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2.按报价格式进行填报，每格均需填报，无报价以斜线、横线或0填满。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color w:val="0000FF"/>
          <w:kern w:val="1"/>
          <w:sz w:val="32"/>
          <w:szCs w:val="32"/>
          <w:lang w:eastAsia="zh-CN"/>
        </w:rPr>
      </w:pPr>
      <w:r>
        <w:rPr>
          <w:rFonts w:hint="eastAsia" w:ascii="方正仿宋简体" w:hAnsi="方正仿宋简体" w:eastAsia="方正仿宋简体" w:cs="方正仿宋简体"/>
          <w:color w:val="auto"/>
          <w:kern w:val="1"/>
          <w:sz w:val="32"/>
          <w:szCs w:val="32"/>
          <w:lang w:val="en-US" w:eastAsia="zh-CN"/>
        </w:rPr>
        <w:t>三、</w:t>
      </w:r>
      <w:r>
        <w:rPr>
          <w:rFonts w:hint="eastAsia" w:ascii="方正仿宋简体" w:hAnsi="方正仿宋简体" w:eastAsia="方正仿宋简体" w:cs="方正仿宋简体"/>
          <w:color w:val="auto"/>
          <w:kern w:val="1"/>
          <w:sz w:val="32"/>
          <w:szCs w:val="32"/>
        </w:rPr>
        <w:t>我方承诺遵守招标文件中的全部规定；参加此次招标事项前三年内，在经营活动中没有重大违法记录</w:t>
      </w:r>
      <w:r>
        <w:rPr>
          <w:rFonts w:hint="eastAsia" w:ascii="方正仿宋简体" w:hAnsi="方正仿宋简体" w:eastAsia="方正仿宋简体" w:cs="方正仿宋简体"/>
          <w:color w:val="auto"/>
          <w:kern w:val="1"/>
          <w:sz w:val="32"/>
          <w:szCs w:val="32"/>
          <w:lang w:eastAsia="zh-CN"/>
        </w:rPr>
        <w:t>；有良好的银行资信和商业信誉，没有处于被责令停业、财产被接管、冻结、破产状态；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bCs/>
          <w:color w:val="auto"/>
          <w:kern w:val="1"/>
          <w:sz w:val="32"/>
          <w:szCs w:val="32"/>
          <w:lang w:val="en-US" w:eastAsia="zh-CN"/>
        </w:rPr>
        <w:t>四、</w:t>
      </w:r>
      <w:r>
        <w:rPr>
          <w:rFonts w:hint="eastAsia" w:ascii="方正仿宋简体" w:hAnsi="方正仿宋简体" w:eastAsia="方正仿宋简体" w:cs="方正仿宋简体"/>
          <w:bCs/>
          <w:color w:val="auto"/>
          <w:kern w:val="1"/>
          <w:sz w:val="32"/>
          <w:szCs w:val="32"/>
        </w:rPr>
        <w:t>我方承诺中标后双方签订合同,并承担合同规定的责任义务；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bCs/>
          <w:color w:val="auto"/>
          <w:kern w:val="1"/>
          <w:sz w:val="32"/>
          <w:szCs w:val="32"/>
        </w:rPr>
      </w:pPr>
      <w:r>
        <w:rPr>
          <w:rFonts w:hint="eastAsia" w:ascii="方正仿宋简体" w:hAnsi="方正仿宋简体" w:eastAsia="方正仿宋简体" w:cs="方正仿宋简体"/>
          <w:color w:val="auto"/>
          <w:sz w:val="32"/>
          <w:szCs w:val="32"/>
          <w:shd w:val="clear" w:color="auto" w:fill="FFFFFF"/>
          <w:lang w:val="en-US" w:eastAsia="zh-CN"/>
        </w:rPr>
        <w:t>五、.</w:t>
      </w:r>
      <w:r>
        <w:rPr>
          <w:rFonts w:hint="eastAsia" w:ascii="方正仿宋简体" w:hAnsi="方正仿宋简体" w:eastAsia="方正仿宋简体" w:cs="方正仿宋简体"/>
          <w:color w:val="auto"/>
          <w:sz w:val="32"/>
          <w:szCs w:val="32"/>
          <w:shd w:val="clear" w:color="auto" w:fill="FFFFFF"/>
        </w:rPr>
        <w:t>我方已详细审查全部招标文件，包括招标文件的补充文件（如有）。我方完全理解并同意放弃对这方面有不明及误解的权力，同时完全接受招标文件所有条款。如果招标文件有相互矛盾之处，我方同意按招标方的解释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color w:val="auto"/>
          <w:sz w:val="32"/>
          <w:szCs w:val="32"/>
          <w:shd w:val="clear" w:color="auto" w:fill="FFFFFF"/>
        </w:rPr>
      </w:pPr>
      <w:r>
        <w:rPr>
          <w:rFonts w:hint="eastAsia" w:ascii="方正仿宋简体" w:hAnsi="方正仿宋简体" w:eastAsia="方正仿宋简体" w:cs="方正仿宋简体"/>
          <w:bCs/>
          <w:color w:val="auto"/>
          <w:kern w:val="1"/>
          <w:sz w:val="32"/>
          <w:szCs w:val="32"/>
          <w:lang w:val="en-US" w:eastAsia="zh-CN"/>
        </w:rPr>
        <w:t>六、</w:t>
      </w:r>
      <w:r>
        <w:rPr>
          <w:rFonts w:hint="eastAsia" w:ascii="方正仿宋简体" w:hAnsi="方正仿宋简体" w:eastAsia="方正仿宋简体" w:cs="方正仿宋简体"/>
          <w:bCs/>
          <w:color w:val="auto"/>
          <w:kern w:val="1"/>
          <w:sz w:val="32"/>
          <w:szCs w:val="32"/>
        </w:rPr>
        <w:t>愿意向贵方提供任何与该项投标有关的数据、情况和技术资料，</w:t>
      </w:r>
      <w:r>
        <w:rPr>
          <w:rFonts w:hint="eastAsia" w:ascii="方正仿宋简体" w:hAnsi="方正仿宋简体" w:eastAsia="方正仿宋简体" w:cs="方正仿宋简体"/>
          <w:color w:val="auto"/>
          <w:sz w:val="32"/>
          <w:szCs w:val="32"/>
          <w:shd w:val="clear" w:color="auto" w:fill="FFFFFF"/>
        </w:rPr>
        <w:t>完全理解贵方不一定接受最低价的报价或收到的任何报价。</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firstLineChars="200"/>
        <w:textAlignment w:val="auto"/>
        <w:outlineLvl w:val="9"/>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bCs/>
          <w:color w:val="000000"/>
          <w:kern w:val="1"/>
          <w:sz w:val="32"/>
          <w:szCs w:val="32"/>
          <w:lang w:val="en-US" w:eastAsia="zh-CN"/>
        </w:rPr>
        <w:t>七、投标单位其他说明情况</w:t>
      </w:r>
      <w:r>
        <w:rPr>
          <w:rFonts w:hint="eastAsia" w:ascii="方正仿宋简体" w:hAnsi="方正仿宋简体" w:eastAsia="方正仿宋简体" w:cs="方正仿宋简体"/>
          <w:bCs/>
          <w:color w:val="000000"/>
          <w:kern w:val="1"/>
          <w:sz w:val="32"/>
          <w:szCs w:val="32"/>
        </w:rPr>
        <w:t>：</w:t>
      </w:r>
      <w:r>
        <w:rPr>
          <w:rFonts w:hint="eastAsia" w:ascii="方正仿宋简体" w:hAnsi="方正仿宋简体" w:eastAsia="方正仿宋简体" w:cs="方正仿宋简体"/>
          <w:color w:val="000000"/>
          <w:kern w:val="1"/>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全权代表（签字）：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投标单位（盖章）：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pPr>
        <w:rPr>
          <w:rFonts w:hint="eastAsia" w:ascii="方正小标宋简体" w:hAnsi="宋体" w:eastAsia="方正小标宋简体" w:cs="宋体"/>
          <w:b/>
          <w:bCs/>
          <w:sz w:val="32"/>
          <w:szCs w:val="32"/>
        </w:rPr>
      </w:pPr>
      <w:r>
        <w:rPr>
          <w:rFonts w:hint="eastAsia" w:ascii="方正小标宋简体" w:hAnsi="宋体" w:eastAsia="方正小标宋简体" w:cs="宋体"/>
          <w:b/>
          <w:bCs/>
          <w:sz w:val="32"/>
          <w:szCs w:val="32"/>
        </w:rPr>
        <w:br w:type="page"/>
      </w:r>
    </w:p>
    <w:p>
      <w:pPr>
        <w:pStyle w:val="11"/>
        <w:adjustRightInd w:val="0"/>
        <w:snapToGrid w:val="0"/>
        <w:spacing w:before="0" w:after="0" w:line="600" w:lineRule="exact"/>
        <w:jc w:val="left"/>
        <w:rPr>
          <w:rFonts w:hint="eastAsia" w:ascii="方正黑体_GBK" w:hAnsi="方正黑体_GBK" w:eastAsia="方正黑体_GBK" w:cs="方正黑体_GBK"/>
          <w:b w:val="0"/>
          <w:bCs/>
          <w:kern w:val="0"/>
          <w:sz w:val="32"/>
          <w:szCs w:val="32"/>
          <w:lang w:val="en-US" w:eastAsia="zh-CN" w:bidi="ar-SA"/>
        </w:rPr>
      </w:pPr>
      <w:r>
        <w:rPr>
          <w:rFonts w:hint="eastAsia" w:ascii="方正仿宋简体" w:hAnsi="方正仿宋简体" w:eastAsia="方正仿宋简体" w:cs="方正仿宋简体"/>
          <w:bCs/>
          <w:color w:val="auto"/>
          <w:kern w:val="1"/>
          <w:sz w:val="32"/>
          <w:szCs w:val="32"/>
        </w:rPr>
        <w:t>附件</w:t>
      </w:r>
      <w:r>
        <w:rPr>
          <w:rFonts w:hint="eastAsia" w:ascii="方正仿宋简体" w:hAnsi="方正仿宋简体" w:eastAsia="方正仿宋简体" w:cs="方正仿宋简体"/>
          <w:bCs/>
          <w:color w:val="auto"/>
          <w:kern w:val="1"/>
          <w:sz w:val="32"/>
          <w:szCs w:val="32"/>
          <w:lang w:val="en-US" w:eastAsia="zh-CN"/>
        </w:rPr>
        <w:t>1</w:t>
      </w:r>
    </w:p>
    <w:p>
      <w:pPr>
        <w:pStyle w:val="11"/>
        <w:adjustRightInd w:val="0"/>
        <w:snapToGrid w:val="0"/>
        <w:spacing w:before="0" w:after="0" w:line="600" w:lineRule="exact"/>
        <w:rPr>
          <w:rFonts w:hint="eastAsia" w:ascii="黑体" w:hAnsi="黑体" w:eastAsia="黑体"/>
          <w:b w:val="0"/>
          <w:sz w:val="34"/>
          <w:szCs w:val="34"/>
        </w:rPr>
      </w:pPr>
      <w:r>
        <w:rPr>
          <w:rFonts w:hint="eastAsia" w:ascii="方正黑体_GBK" w:hAnsi="方正黑体_GBK" w:eastAsia="方正黑体_GBK" w:cs="方正黑体_GBK"/>
          <w:b w:val="0"/>
          <w:bCs/>
          <w:kern w:val="0"/>
          <w:sz w:val="32"/>
          <w:szCs w:val="32"/>
          <w:lang w:val="en-US" w:eastAsia="zh-CN" w:bidi="ar-SA"/>
        </w:rPr>
        <w:t xml:space="preserve"> 供应商管理</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rPr>
      </w:pPr>
      <w:r>
        <w:rPr>
          <w:rFonts w:hint="eastAsia" w:ascii="方正黑体_GBK" w:hAnsi="方正黑体_GBK" w:eastAsia="方正黑体_GBK" w:cs="方正黑体_GBK"/>
          <w:b w:val="0"/>
          <w:bCs w:val="0"/>
          <w:sz w:val="32"/>
          <w:szCs w:val="32"/>
          <w:lang w:val="en-US" w:eastAsia="zh-CN"/>
        </w:rPr>
        <w:t xml:space="preserve"> </w:t>
      </w:r>
      <w:r>
        <w:rPr>
          <w:rFonts w:hint="eastAsia" w:ascii="方正仿宋简体" w:hAnsi="方正仿宋简体" w:eastAsia="方正仿宋简体" w:cs="方正仿宋简体"/>
          <w:color w:val="auto"/>
          <w:sz w:val="32"/>
          <w:szCs w:val="32"/>
          <w:u w:val="none" w:color="auto"/>
        </w:rPr>
        <w:t>凡按国家标准及相关准则或规定组织生产销售的原辅材料、备品备件、劳保用品等物资供应商以及运输服务商，只要资质证照齐全且满足我司招标要求，均视为我司合格供应商，参与我司组织的招投标、比价采购等商务活动。</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黑体_GBK" w:hAnsi="方正黑体_GBK" w:eastAsia="方正黑体_GBK" w:cs="方正黑体_GBK"/>
          <w:b w:val="0"/>
          <w:bCs w:val="0"/>
          <w:sz w:val="32"/>
          <w:szCs w:val="32"/>
          <w:lang w:val="en-US" w:eastAsia="zh-CN"/>
        </w:rPr>
        <w:t xml:space="preserve"> </w:t>
      </w:r>
      <w:r>
        <w:rPr>
          <w:rFonts w:hint="eastAsia" w:ascii="方正仿宋简体" w:hAnsi="方正仿宋简体" w:eastAsia="方正仿宋简体" w:cs="方正仿宋简体"/>
          <w:color w:val="auto"/>
          <w:sz w:val="32"/>
          <w:szCs w:val="32"/>
          <w:u w:val="none" w:color="auto"/>
          <w:lang w:val="en-US" w:eastAsia="zh-CN"/>
        </w:rPr>
        <w:t>供应商负面清单管理</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楷体_GBK" w:hAnsi="方正楷体_GBK" w:eastAsia="方正楷体_GBK" w:cs="方正楷体_GBK"/>
          <w:color w:val="000000"/>
          <w:sz w:val="32"/>
          <w:szCs w:val="32"/>
          <w:highlight w:val="none"/>
          <w:lang w:val="en-US" w:eastAsia="zh-CN"/>
        </w:rPr>
        <w:t>（一）</w:t>
      </w:r>
      <w:r>
        <w:rPr>
          <w:rFonts w:hint="eastAsia" w:ascii="方正仿宋简体" w:hAnsi="方正仿宋简体" w:eastAsia="方正仿宋简体" w:cs="方正仿宋简体"/>
          <w:color w:val="auto"/>
          <w:sz w:val="32"/>
          <w:szCs w:val="32"/>
          <w:u w:val="none" w:color="auto"/>
          <w:lang w:val="en-US" w:eastAsia="zh-CN"/>
        </w:rPr>
        <w:t>管理职责</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仿宋简体" w:hAnsi="方正仿宋简体" w:eastAsia="方正仿宋简体" w:cs="方正仿宋简体"/>
          <w:color w:val="auto"/>
          <w:sz w:val="32"/>
          <w:szCs w:val="32"/>
          <w:u w:val="none" w:color="auto"/>
          <w:lang w:val="en-US" w:eastAsia="zh-CN"/>
        </w:rPr>
        <w:t>1.使用部门：负责提供技术参数或提出服务要求，对采购物资或服务的质量进行验收。</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仿宋简体" w:hAnsi="方正仿宋简体" w:eastAsia="方正仿宋简体" w:cs="方正仿宋简体"/>
          <w:color w:val="auto"/>
          <w:sz w:val="32"/>
          <w:szCs w:val="32"/>
          <w:u w:val="none" w:color="auto"/>
          <w:lang w:val="en-US" w:eastAsia="zh-CN"/>
        </w:rPr>
        <w:t>2.采购部门：负责通过线上或线下途径不断开发有能力满足公司所需物资或服务的供应商，对目标供应商所提供的材料完整性、交货期、价格等维度作为筛选的依据进行资格初审，收集供应商资料并建立档案。</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仿宋简体" w:hAnsi="方正仿宋简体" w:eastAsia="方正仿宋简体" w:cs="方正仿宋简体"/>
          <w:color w:val="auto"/>
          <w:sz w:val="32"/>
          <w:szCs w:val="32"/>
          <w:u w:val="none" w:color="auto"/>
          <w:lang w:val="en-US" w:eastAsia="zh-CN"/>
        </w:rPr>
        <w:t>3.监管部门：负责对采购流程的合规性进行监督。</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仿宋简体" w:hAnsi="方正仿宋简体" w:eastAsia="方正仿宋简体" w:cs="方正仿宋简体"/>
          <w:color w:val="auto"/>
          <w:sz w:val="32"/>
          <w:szCs w:val="32"/>
          <w:u w:val="none" w:color="auto"/>
          <w:lang w:val="en-US" w:eastAsia="zh-CN"/>
        </w:rPr>
        <w:t>风险控制部负责归口公司招投标负面清单，具体工作由海纳川各部室及直属单位共同承担。</w:t>
      </w:r>
    </w:p>
    <w:p>
      <w:pPr>
        <w:numPr>
          <w:ilvl w:val="0"/>
          <w:numId w:val="0"/>
        </w:numPr>
        <w:tabs>
          <w:tab w:val="left" w:pos="2565"/>
        </w:tabs>
        <w:spacing w:line="600" w:lineRule="exact"/>
        <w:rPr>
          <w:rFonts w:hint="eastAsia" w:ascii="方正仿宋简体" w:hAnsi="方正仿宋简体" w:eastAsia="方正仿宋简体" w:cs="方正仿宋简体"/>
          <w:color w:val="auto"/>
          <w:sz w:val="32"/>
          <w:szCs w:val="32"/>
          <w:u w:val="none" w:color="auto"/>
          <w:lang w:val="en-US" w:eastAsia="zh-CN"/>
        </w:rPr>
      </w:pPr>
    </w:p>
    <w:p>
      <w:pPr>
        <w:pStyle w:val="2"/>
        <w:rPr>
          <w:rFonts w:hint="eastAsia"/>
          <w:lang w:val="en-US" w:eastAsia="zh-CN"/>
        </w:rPr>
      </w:pPr>
    </w:p>
    <w:p>
      <w:pPr>
        <w:numPr>
          <w:ilvl w:val="0"/>
          <w:numId w:val="0"/>
        </w:numPr>
        <w:tabs>
          <w:tab w:val="left" w:pos="2565"/>
        </w:tabs>
        <w:spacing w:line="600" w:lineRule="exact"/>
        <w:rPr>
          <w:rFonts w:hint="eastAsia" w:ascii="方正仿宋简体" w:hAnsi="方正仿宋简体" w:eastAsia="方正仿宋简体" w:cs="方正仿宋简体"/>
          <w:color w:val="auto"/>
          <w:sz w:val="32"/>
          <w:szCs w:val="32"/>
          <w:u w:val="none" w:color="auto"/>
          <w:lang w:val="en-US" w:eastAsia="zh-CN"/>
        </w:rPr>
      </w:pPr>
    </w:p>
    <w:p>
      <w:pPr>
        <w:numPr>
          <w:ilvl w:val="0"/>
          <w:numId w:val="0"/>
        </w:numPr>
        <w:tabs>
          <w:tab w:val="left" w:pos="2565"/>
        </w:tabs>
        <w:spacing w:line="600" w:lineRule="exact"/>
        <w:rPr>
          <w:rFonts w:hint="eastAsia" w:ascii="方正仿宋简体" w:hAnsi="方正仿宋简体" w:eastAsia="方正仿宋简体" w:cs="方正仿宋简体"/>
          <w:color w:val="auto"/>
          <w:sz w:val="32"/>
          <w:szCs w:val="32"/>
          <w:u w:val="none" w:color="auto"/>
          <w:lang w:val="en-US" w:eastAsia="zh-CN"/>
        </w:rPr>
      </w:pPr>
    </w:p>
    <w:p>
      <w:pPr>
        <w:numPr>
          <w:ilvl w:val="0"/>
          <w:numId w:val="2"/>
        </w:numPr>
        <w:tabs>
          <w:tab w:val="left" w:pos="2565"/>
        </w:tabs>
        <w:spacing w:line="600" w:lineRule="exact"/>
        <w:ind w:firstLine="420" w:firstLineChars="200"/>
        <w:rPr>
          <w:rFonts w:hint="eastAsia" w:ascii="方正仿宋简体" w:hAnsi="方正仿宋简体" w:eastAsia="方正仿宋简体" w:cs="方正仿宋简体"/>
          <w:color w:val="auto"/>
          <w:sz w:val="32"/>
          <w:szCs w:val="32"/>
          <w:u w:val="none" w:color="auto"/>
          <w:lang w:val="en-US" w:eastAsia="zh-CN"/>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1332230</wp:posOffset>
            </wp:positionV>
            <wp:extent cx="6446520" cy="8431530"/>
            <wp:effectExtent l="0" t="0" r="11430"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446520" cy="8431530"/>
                    </a:xfrm>
                    <a:prstGeom prst="rect">
                      <a:avLst/>
                    </a:prstGeom>
                    <a:noFill/>
                    <a:ln>
                      <a:noFill/>
                    </a:ln>
                  </pic:spPr>
                </pic:pic>
              </a:graphicData>
            </a:graphic>
          </wp:anchor>
        </w:drawing>
      </w:r>
      <w:r>
        <w:rPr>
          <w:rFonts w:hint="eastAsia" w:ascii="方正仿宋简体" w:hAnsi="方正仿宋简体" w:eastAsia="方正仿宋简体" w:cs="方正仿宋简体"/>
          <w:color w:val="auto"/>
          <w:sz w:val="32"/>
          <w:szCs w:val="32"/>
          <w:u w:val="none" w:color="auto"/>
          <w:lang w:val="en-US" w:eastAsia="zh-CN"/>
        </w:rPr>
        <w:t>负面清单确定流程</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黑体_GBK" w:hAnsi="方正黑体_GBK" w:eastAsia="方正黑体_GBK" w:cs="方正黑体_GBK"/>
          <w:b w:val="0"/>
          <w:bCs w:val="0"/>
          <w:sz w:val="32"/>
          <w:szCs w:val="32"/>
          <w:lang w:val="en-US" w:eastAsia="zh-CN"/>
        </w:rPr>
        <w:t xml:space="preserve"> </w:t>
      </w:r>
      <w:r>
        <w:rPr>
          <w:rFonts w:hint="eastAsia" w:ascii="方正仿宋简体" w:hAnsi="方正仿宋简体" w:eastAsia="方正仿宋简体" w:cs="方正仿宋简体"/>
          <w:color w:val="auto"/>
          <w:sz w:val="32"/>
          <w:szCs w:val="32"/>
          <w:u w:val="none" w:color="auto"/>
          <w:lang w:val="en-US" w:eastAsia="zh-CN"/>
        </w:rPr>
        <w:t>供应商积分管理</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楷体_GBK" w:hAnsi="方正楷体_GBK" w:eastAsia="方正楷体_GBK" w:cs="方正楷体_GBK"/>
          <w:color w:val="000000"/>
          <w:sz w:val="32"/>
          <w:szCs w:val="32"/>
          <w:highlight w:val="none"/>
          <w:lang w:val="en-US" w:eastAsia="zh-CN"/>
        </w:rPr>
        <w:t>（一）</w:t>
      </w:r>
      <w:r>
        <w:rPr>
          <w:rFonts w:hint="eastAsia" w:ascii="方正仿宋简体" w:hAnsi="方正仿宋简体" w:eastAsia="方正仿宋简体" w:cs="方正仿宋简体"/>
          <w:color w:val="auto"/>
          <w:sz w:val="32"/>
          <w:szCs w:val="32"/>
          <w:u w:val="none" w:color="auto"/>
          <w:lang w:eastAsia="zh-CN"/>
        </w:rPr>
        <w:t>供应商积分考核</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仿宋简体" w:hAnsi="方正仿宋简体" w:eastAsia="方正仿宋简体" w:cs="方正仿宋简体"/>
          <w:color w:val="auto"/>
          <w:sz w:val="32"/>
          <w:szCs w:val="32"/>
          <w:u w:val="none" w:color="auto"/>
          <w:lang w:eastAsia="zh-CN"/>
        </w:rPr>
        <w:t>合作供应商初始积分为40分，从供应商的供货质量、交货周期、售后服务</w:t>
      </w:r>
      <w:r>
        <w:rPr>
          <w:rFonts w:hint="eastAsia" w:ascii="方正仿宋简体" w:hAnsi="方正仿宋简体" w:eastAsia="方正仿宋简体" w:cs="方正仿宋简体"/>
          <w:color w:val="auto"/>
          <w:sz w:val="32"/>
          <w:szCs w:val="32"/>
          <w:u w:val="none" w:color="auto"/>
          <w:lang w:val="en-US" w:eastAsia="zh-CN"/>
        </w:rPr>
        <w:t>、</w:t>
      </w:r>
      <w:r>
        <w:rPr>
          <w:rFonts w:hint="eastAsia" w:ascii="方正仿宋简体" w:hAnsi="方正仿宋简体" w:eastAsia="方正仿宋简体" w:cs="方正仿宋简体"/>
          <w:color w:val="auto"/>
          <w:sz w:val="32"/>
          <w:szCs w:val="32"/>
          <w:u w:val="none" w:color="auto"/>
          <w:lang w:eastAsia="zh-CN"/>
        </w:rPr>
        <w:t>资质信誉</w:t>
      </w:r>
      <w:r>
        <w:rPr>
          <w:rFonts w:hint="eastAsia" w:ascii="方正仿宋简体" w:hAnsi="方正仿宋简体" w:eastAsia="方正仿宋简体" w:cs="方正仿宋简体"/>
          <w:color w:val="auto"/>
          <w:sz w:val="32"/>
          <w:szCs w:val="32"/>
          <w:u w:val="none" w:color="auto"/>
          <w:lang w:val="en-US" w:eastAsia="zh-CN"/>
        </w:rPr>
        <w:t>等</w:t>
      </w:r>
      <w:r>
        <w:rPr>
          <w:rFonts w:hint="eastAsia" w:ascii="方正仿宋简体" w:hAnsi="方正仿宋简体" w:eastAsia="方正仿宋简体" w:cs="方正仿宋简体"/>
          <w:color w:val="auto"/>
          <w:sz w:val="32"/>
          <w:szCs w:val="32"/>
          <w:u w:val="none" w:color="auto"/>
          <w:lang w:eastAsia="zh-CN"/>
        </w:rPr>
        <w:t>方面进行考核。使用部门、管理部门、采购部门均可书面提出考核建议。</w:t>
      </w:r>
      <w:r>
        <w:rPr>
          <w:rFonts w:hint="eastAsia" w:ascii="方正仿宋简体" w:hAnsi="方正仿宋简体" w:eastAsia="方正仿宋简体" w:cs="方正仿宋简体"/>
          <w:color w:val="auto"/>
          <w:sz w:val="32"/>
          <w:szCs w:val="32"/>
          <w:u w:val="none" w:color="auto"/>
          <w:lang w:val="en-US" w:eastAsia="zh-CN"/>
        </w:rPr>
        <w:t>风险控制部</w:t>
      </w:r>
      <w:r>
        <w:rPr>
          <w:rFonts w:hint="eastAsia" w:ascii="方正仿宋简体" w:hAnsi="方正仿宋简体" w:eastAsia="方正仿宋简体" w:cs="方正仿宋简体"/>
          <w:color w:val="auto"/>
          <w:sz w:val="32"/>
          <w:szCs w:val="32"/>
          <w:u w:val="none" w:color="auto"/>
          <w:lang w:eastAsia="zh-CN"/>
        </w:rPr>
        <w:t>组织相关参与评标部门根据本规定对供应商进行考核并建立供应商考核情况登记表（见附件3），根据扣分情况分为继续合作、限制合作及列入负面清单三种情形。考核记分周期为1年，自被考核当日起计满1年后，考核分自动清零。</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仿宋简体" w:hAnsi="方正仿宋简体" w:eastAsia="方正仿宋简体" w:cs="方正仿宋简体"/>
          <w:color w:val="auto"/>
          <w:sz w:val="32"/>
          <w:szCs w:val="32"/>
          <w:u w:val="none" w:color="auto"/>
          <w:lang w:eastAsia="zh-CN"/>
        </w:rPr>
        <w:t>1.继续合作供应商：考核扣分介于0～7分之间，为可继续合作的供应商。</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仿宋简体" w:hAnsi="方正仿宋简体" w:eastAsia="方正仿宋简体" w:cs="方正仿宋简体"/>
          <w:color w:val="auto"/>
          <w:sz w:val="32"/>
          <w:szCs w:val="32"/>
          <w:u w:val="none" w:color="auto"/>
          <w:lang w:eastAsia="zh-CN"/>
        </w:rPr>
        <w:t xml:space="preserve">2.限制合作供应商：考核扣分介于8～16分之间，为限制合作供应商。原辅材料采购3个月内、备品备件采购6个月内不接受该供应商投标或报价。 </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仿宋简体" w:hAnsi="方正仿宋简体" w:eastAsia="方正仿宋简体" w:cs="方正仿宋简体"/>
          <w:color w:val="auto"/>
          <w:sz w:val="32"/>
          <w:szCs w:val="32"/>
          <w:u w:val="none" w:color="auto"/>
          <w:lang w:eastAsia="zh-CN"/>
        </w:rPr>
        <w:t>3.列入负面清单供应商：考核扣分高于16分或单项扣10分，列入负面清单供应商，1年内不接受该供应商投标或报价。</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楷体_GBK" w:hAnsi="方正楷体_GBK" w:eastAsia="方正楷体_GBK" w:cs="方正楷体_GBK"/>
          <w:color w:val="000000"/>
          <w:sz w:val="32"/>
          <w:szCs w:val="32"/>
          <w:highlight w:val="none"/>
          <w:lang w:val="en-US" w:eastAsia="zh-CN"/>
        </w:rPr>
        <w:t>（二）</w:t>
      </w:r>
      <w:r>
        <w:rPr>
          <w:rFonts w:hint="eastAsia" w:ascii="方正仿宋简体" w:hAnsi="方正仿宋简体" w:eastAsia="方正仿宋简体" w:cs="方正仿宋简体"/>
          <w:color w:val="auto"/>
          <w:sz w:val="32"/>
          <w:szCs w:val="32"/>
          <w:u w:val="none" w:color="auto"/>
          <w:lang w:eastAsia="zh-CN"/>
        </w:rPr>
        <w:t>供应商考核方法</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val="en-US" w:eastAsia="zh-CN"/>
        </w:rPr>
      </w:pPr>
      <w:r>
        <w:rPr>
          <w:rFonts w:hint="eastAsia" w:ascii="方正仿宋简体" w:hAnsi="方正仿宋简体" w:eastAsia="方正仿宋简体" w:cs="方正仿宋简体"/>
          <w:color w:val="auto"/>
          <w:sz w:val="32"/>
          <w:szCs w:val="32"/>
          <w:u w:val="none" w:color="auto"/>
          <w:lang w:val="en-US" w:eastAsia="zh-CN"/>
        </w:rPr>
        <w:t>1.</w:t>
      </w:r>
      <w:r>
        <w:rPr>
          <w:rFonts w:hint="eastAsia" w:ascii="方正仿宋简体" w:hAnsi="方正仿宋简体" w:eastAsia="方正仿宋简体" w:cs="方正仿宋简体"/>
          <w:b/>
          <w:sz w:val="32"/>
          <w:szCs w:val="32"/>
          <w:lang w:val="en-US" w:eastAsia="zh-CN"/>
        </w:rPr>
        <w:t>建筑施工方</w:t>
      </w:r>
    </w:p>
    <w:p>
      <w:pPr>
        <w:tabs>
          <w:tab w:val="left" w:pos="2565"/>
        </w:tabs>
        <w:spacing w:line="600" w:lineRule="exact"/>
        <w:ind w:firstLine="640" w:firstLineChars="200"/>
        <w:rPr>
          <w:rFonts w:hint="eastAsia" w:ascii="方正仿宋简体" w:hAnsi="方正仿宋简体" w:eastAsia="方正仿宋简体" w:cs="方正仿宋简体"/>
          <w:color w:val="auto"/>
          <w:sz w:val="32"/>
          <w:szCs w:val="32"/>
          <w:u w:val="none" w:color="auto"/>
          <w:lang w:eastAsia="zh-CN"/>
        </w:rPr>
      </w:pPr>
      <w:r>
        <w:rPr>
          <w:rFonts w:hint="eastAsia" w:ascii="方正仿宋简体" w:hAnsi="方正仿宋简体" w:eastAsia="方正仿宋简体" w:cs="方正仿宋简体"/>
          <w:color w:val="auto"/>
          <w:sz w:val="32"/>
          <w:szCs w:val="32"/>
          <w:u w:val="none" w:color="auto"/>
          <w:lang w:eastAsia="zh-CN"/>
        </w:rPr>
        <w:t>（1）质量方面</w:t>
      </w:r>
    </w:p>
    <w:p>
      <w:pPr>
        <w:tabs>
          <w:tab w:val="left" w:pos="2565"/>
        </w:tabs>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color w:val="auto"/>
          <w:sz w:val="32"/>
          <w:szCs w:val="32"/>
          <w:u w:val="none" w:color="auto"/>
          <w:lang w:eastAsia="zh-CN"/>
        </w:rPr>
        <w:t>①</w:t>
      </w:r>
      <w:r>
        <w:rPr>
          <w:rFonts w:hint="eastAsia" w:ascii="方正仿宋简体" w:hAnsi="方正仿宋简体" w:eastAsia="方正仿宋简体" w:cs="方正仿宋简体"/>
          <w:bCs/>
          <w:sz w:val="32"/>
          <w:szCs w:val="32"/>
          <w:lang w:val="en-US" w:eastAsia="zh-CN"/>
        </w:rPr>
        <w:t>施工材料</w:t>
      </w:r>
      <w:r>
        <w:rPr>
          <w:rFonts w:hint="eastAsia" w:ascii="方正仿宋简体" w:hAnsi="方正仿宋简体" w:eastAsia="方正仿宋简体" w:cs="方正仿宋简体"/>
          <w:bCs/>
          <w:sz w:val="32"/>
          <w:szCs w:val="32"/>
        </w:rPr>
        <w:t>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w:t>
      </w:r>
      <w:r>
        <w:rPr>
          <w:rFonts w:hint="eastAsia" w:ascii="方正仿宋简体" w:hAnsi="方正仿宋简体" w:eastAsia="方正仿宋简体" w:cs="方正仿宋简体"/>
          <w:bCs/>
          <w:sz w:val="32"/>
          <w:szCs w:val="32"/>
          <w:lang w:val="en-US" w:eastAsia="zh-CN"/>
        </w:rPr>
        <w:t>施工材料</w:t>
      </w:r>
      <w:r>
        <w:rPr>
          <w:rFonts w:hint="eastAsia" w:ascii="方正仿宋简体" w:hAnsi="方正仿宋简体" w:eastAsia="方正仿宋简体" w:cs="方正仿宋简体"/>
          <w:bCs/>
          <w:sz w:val="32"/>
          <w:szCs w:val="32"/>
        </w:rPr>
        <w:t>存在质量问题，未能及时更换，单次扣10分。</w:t>
      </w:r>
    </w:p>
    <w:p>
      <w:pPr>
        <w:keepNext w:val="0"/>
        <w:keepLines w:val="0"/>
        <w:kinsoku/>
        <w:wordWrap/>
        <w:overflowPunct/>
        <w:topLinePunct w:val="0"/>
        <w:autoSpaceDE/>
        <w:autoSpaceDN/>
        <w:bidi w:val="0"/>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w:t>
      </w:r>
      <w:r>
        <w:rPr>
          <w:rFonts w:hint="eastAsia" w:ascii="方正仿宋简体" w:hAnsi="方正仿宋简体" w:eastAsia="方正仿宋简体" w:cs="方正仿宋简体"/>
          <w:bCs/>
          <w:sz w:val="32"/>
          <w:szCs w:val="32"/>
          <w:lang w:val="en-US" w:eastAsia="zh-CN"/>
        </w:rPr>
        <w:t>不能满足工程质量要求的，考核5-10分。</w:t>
      </w:r>
    </w:p>
    <w:p>
      <w:pPr>
        <w:keepNext w:val="0"/>
        <w:keepLines w:val="0"/>
        <w:kinsoku/>
        <w:wordWrap/>
        <w:overflowPunct/>
        <w:topLinePunct w:val="0"/>
        <w:autoSpaceDE/>
        <w:autoSpaceDN/>
        <w:bidi w:val="0"/>
        <w:spacing w:line="600" w:lineRule="exact"/>
        <w:ind w:firstLine="640" w:firstLineChars="200"/>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Cs/>
          <w:sz w:val="32"/>
          <w:szCs w:val="32"/>
          <w:lang w:val="en-US" w:eastAsia="zh-CN"/>
        </w:rPr>
        <w:t>工期方面</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lang w:val="en-US" w:eastAsia="zh-CN"/>
        </w:rPr>
        <w:t>不能满足进度要求的，考核5-10分。</w:t>
      </w:r>
    </w:p>
    <w:p>
      <w:pPr>
        <w:keepNext w:val="0"/>
        <w:keepLines w:val="0"/>
        <w:kinsoku/>
        <w:wordWrap/>
        <w:overflowPunct/>
        <w:topLinePunct w:val="0"/>
        <w:autoSpaceDE/>
        <w:autoSpaceDN/>
        <w:bidi w:val="0"/>
        <w:spacing w:line="600" w:lineRule="exact"/>
        <w:ind w:firstLine="640" w:firstLineChars="200"/>
        <w:rPr>
          <w:rFonts w:hint="eastAsia" w:ascii="方正楷体_GBK" w:hAnsi="方正楷体_GBK" w:eastAsia="方正楷体_GBK" w:cs="方正楷体_GBK"/>
          <w:b w:val="0"/>
          <w:bCs/>
          <w:sz w:val="32"/>
          <w:szCs w:val="32"/>
          <w:lang w:val="en-US" w:eastAsia="zh-CN"/>
        </w:rPr>
      </w:pP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Cs/>
          <w:sz w:val="32"/>
          <w:szCs w:val="32"/>
          <w:lang w:val="en-US" w:eastAsia="zh-CN"/>
        </w:rPr>
        <w:t>安全方面</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rPr>
        <w:t>现场施工人员</w:t>
      </w:r>
      <w:r>
        <w:rPr>
          <w:rFonts w:hint="eastAsia" w:ascii="方正仿宋简体" w:hAnsi="方正仿宋简体" w:eastAsia="方正仿宋简体" w:cs="方正仿宋简体"/>
          <w:bCs/>
          <w:sz w:val="32"/>
          <w:szCs w:val="32"/>
          <w:lang w:val="en-US" w:eastAsia="zh-CN"/>
        </w:rPr>
        <w:t>不</w:t>
      </w:r>
      <w:r>
        <w:rPr>
          <w:rFonts w:hint="eastAsia" w:ascii="方正仿宋简体" w:hAnsi="方正仿宋简体" w:eastAsia="方正仿宋简体" w:cs="方正仿宋简体"/>
          <w:bCs/>
          <w:sz w:val="32"/>
          <w:szCs w:val="32"/>
        </w:rPr>
        <w:t>服从招标方</w:t>
      </w:r>
      <w:r>
        <w:rPr>
          <w:rFonts w:hint="eastAsia" w:ascii="方正仿宋简体" w:hAnsi="方正仿宋简体" w:eastAsia="方正仿宋简体" w:cs="方正仿宋简体"/>
          <w:bCs/>
          <w:sz w:val="32"/>
          <w:szCs w:val="32"/>
          <w:lang w:val="en-US" w:eastAsia="zh-CN"/>
        </w:rPr>
        <w:t>安全</w:t>
      </w:r>
      <w:r>
        <w:rPr>
          <w:rFonts w:hint="eastAsia" w:ascii="方正仿宋简体" w:hAnsi="方正仿宋简体" w:eastAsia="方正仿宋简体" w:cs="方正仿宋简体"/>
          <w:bCs/>
          <w:sz w:val="32"/>
          <w:szCs w:val="32"/>
        </w:rPr>
        <w:t>管理</w:t>
      </w:r>
      <w:r>
        <w:rPr>
          <w:rFonts w:hint="eastAsia" w:ascii="方正仿宋简体" w:hAnsi="方正仿宋简体" w:eastAsia="方正仿宋简体" w:cs="方正仿宋简体"/>
          <w:bCs/>
          <w:sz w:val="32"/>
          <w:szCs w:val="32"/>
          <w:lang w:val="en-US" w:eastAsia="zh-CN"/>
        </w:rPr>
        <w:t>的</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bCs/>
          <w:sz w:val="32"/>
          <w:szCs w:val="32"/>
          <w:lang w:val="en-US" w:eastAsia="zh-CN"/>
        </w:rPr>
        <w:t>考核5-10分。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w:t>
      </w:r>
      <w:r>
        <w:rPr>
          <w:rFonts w:hint="eastAsia" w:ascii="方正仿宋简体" w:hAnsi="方正仿宋简体" w:eastAsia="方正仿宋简体" w:cs="方正仿宋简体"/>
          <w:bCs/>
          <w:sz w:val="32"/>
          <w:szCs w:val="32"/>
          <w:lang w:val="en-US" w:eastAsia="zh-CN"/>
        </w:rPr>
        <w:t>4</w:t>
      </w:r>
      <w:r>
        <w:rPr>
          <w:rFonts w:hint="eastAsia" w:ascii="方正仿宋简体" w:hAnsi="方正仿宋简体" w:eastAsia="方正仿宋简体" w:cs="方正仿宋简体"/>
          <w:bCs/>
          <w:sz w:val="32"/>
          <w:szCs w:val="32"/>
        </w:rPr>
        <w:t>）售后方面</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pPr>
        <w:keepNext w:val="0"/>
        <w:keepLines w:val="0"/>
        <w:kinsoku/>
        <w:wordWrap/>
        <w:overflowPunct/>
        <w:topLinePunct w:val="0"/>
        <w:autoSpaceDE/>
        <w:autoSpaceDN/>
        <w:bidi w:val="0"/>
        <w:spacing w:line="600" w:lineRule="exact"/>
        <w:ind w:firstLine="640" w:firstLineChars="200"/>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rPr>
        <w:t>③在质保期之内，拒绝提供售后服务，单次扣5分。</w:t>
      </w:r>
    </w:p>
    <w:p>
      <w:pPr>
        <w:keepNext w:val="0"/>
        <w:keepLines w:val="0"/>
        <w:numPr>
          <w:ilvl w:val="0"/>
          <w:numId w:val="0"/>
        </w:numPr>
        <w:kinsoku/>
        <w:wordWrap/>
        <w:overflowPunct/>
        <w:topLinePunct w:val="0"/>
        <w:autoSpaceDE/>
        <w:autoSpaceDN/>
        <w:bidi w:val="0"/>
        <w:spacing w:line="600" w:lineRule="exact"/>
        <w:ind w:left="560" w:leftChars="0"/>
        <w:rPr>
          <w:rFonts w:hint="eastAsia" w:ascii="方正楷体_GBK" w:hAnsi="方正楷体_GBK" w:eastAsia="方正楷体_GBK" w:cs="方正楷体_GBK"/>
          <w:b w:val="0"/>
          <w:bCs/>
          <w:sz w:val="32"/>
          <w:szCs w:val="32"/>
          <w:lang w:val="en-US" w:eastAsia="zh-CN"/>
        </w:rPr>
      </w:pPr>
      <w:r>
        <w:rPr>
          <w:rFonts w:hint="eastAsia" w:ascii="方正仿宋简体" w:hAnsi="方正仿宋简体" w:eastAsia="方正仿宋简体" w:cs="方正仿宋简体"/>
          <w:color w:val="auto"/>
          <w:sz w:val="32"/>
          <w:szCs w:val="32"/>
          <w:u w:val="none" w:color="auto"/>
          <w:lang w:val="en-US" w:eastAsia="zh-CN"/>
        </w:rPr>
        <w:t>（5）</w:t>
      </w:r>
      <w:r>
        <w:rPr>
          <w:rFonts w:hint="eastAsia" w:ascii="方正仿宋简体" w:hAnsi="方正仿宋简体" w:eastAsia="方正仿宋简体" w:cs="方正仿宋简体"/>
          <w:bCs/>
          <w:sz w:val="32"/>
          <w:szCs w:val="32"/>
          <w:lang w:val="en-US" w:eastAsia="zh-CN"/>
        </w:rPr>
        <w:t>资信方面</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w:t>
      </w:r>
      <w:r>
        <w:rPr>
          <w:rFonts w:hint="eastAsia" w:ascii="方正仿宋简体" w:hAnsi="方正仿宋简体" w:eastAsia="方正仿宋简体" w:cs="方正仿宋简体"/>
          <w:bCs/>
          <w:sz w:val="32"/>
          <w:szCs w:val="32"/>
          <w:highlight w:val="none"/>
        </w:rPr>
        <w:t>中标之后拒绝签订合同或拒绝履行合同，视影响生产程度严重的单次扣5</w:t>
      </w:r>
      <w:r>
        <w:rPr>
          <w:rFonts w:hint="eastAsia" w:ascii="方正仿宋简体" w:hAnsi="方正仿宋简体" w:eastAsia="方正仿宋简体" w:cs="方正仿宋简体"/>
          <w:kern w:val="0"/>
          <w:sz w:val="32"/>
          <w:szCs w:val="32"/>
          <w:highlight w:val="none"/>
        </w:rPr>
        <w:t>～</w:t>
      </w:r>
      <w:r>
        <w:rPr>
          <w:rFonts w:hint="eastAsia" w:ascii="方正仿宋简体" w:hAnsi="方正仿宋简体" w:eastAsia="方正仿宋简体" w:cs="方正仿宋简体"/>
          <w:bCs/>
          <w:sz w:val="32"/>
          <w:szCs w:val="32"/>
          <w:highlight w:val="none"/>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3"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pPr>
        <w:keepNext w:val="0"/>
        <w:keepLines w:val="0"/>
        <w:kinsoku/>
        <w:wordWrap/>
        <w:overflowPunct/>
        <w:topLinePunct w:val="0"/>
        <w:autoSpaceDE/>
        <w:autoSpaceDN/>
        <w:bidi w:val="0"/>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pPr>
        <w:keepNext w:val="0"/>
        <w:keepLines w:val="0"/>
        <w:kinsoku/>
        <w:wordWrap/>
        <w:overflowPunct/>
        <w:topLinePunct w:val="0"/>
        <w:autoSpaceDE/>
        <w:autoSpaceDN/>
        <w:bidi w:val="0"/>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pPr>
        <w:keepNext w:val="0"/>
        <w:keepLines w:val="0"/>
        <w:kinsoku/>
        <w:wordWrap/>
        <w:overflowPunct/>
        <w:topLinePunct w:val="0"/>
        <w:autoSpaceDE/>
        <w:autoSpaceDN/>
        <w:bidi w:val="0"/>
        <w:spacing w:line="600" w:lineRule="exact"/>
        <w:ind w:firstLine="63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pPr>
        <w:keepNext w:val="0"/>
        <w:keepLines w:val="0"/>
        <w:kinsoku/>
        <w:wordWrap/>
        <w:overflowPunct/>
        <w:topLinePunct w:val="0"/>
        <w:autoSpaceDE/>
        <w:autoSpaceDN/>
        <w:bidi w:val="0"/>
        <w:spacing w:line="600" w:lineRule="exact"/>
        <w:ind w:firstLine="63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pPr>
        <w:keepNext w:val="0"/>
        <w:keepLines w:val="0"/>
        <w:kinsoku/>
        <w:wordWrap/>
        <w:overflowPunct/>
        <w:topLinePunct w:val="0"/>
        <w:autoSpaceDE/>
        <w:autoSpaceDN/>
        <w:bidi w:val="0"/>
        <w:spacing w:line="600" w:lineRule="exact"/>
        <w:ind w:firstLine="63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3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①中标之后拒绝签订合同或拒绝履行合同，视影响生产程度严重的单次扣5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3" w:firstLineChars="20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pPr>
        <w:keepNext w:val="0"/>
        <w:keepLines w:val="0"/>
        <w:tabs>
          <w:tab w:val="left" w:pos="851"/>
        </w:tabs>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pPr>
        <w:keepNext w:val="0"/>
        <w:keepLines w:val="0"/>
        <w:kinsoku/>
        <w:wordWrap/>
        <w:overflowPunct/>
        <w:topLinePunct w:val="0"/>
        <w:autoSpaceDE/>
        <w:autoSpaceDN/>
        <w:bidi w:val="0"/>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pPr>
        <w:keepNext w:val="0"/>
        <w:keepLines w:val="0"/>
        <w:kinsoku/>
        <w:wordWrap/>
        <w:overflowPunct/>
        <w:topLinePunct w:val="0"/>
        <w:autoSpaceDE/>
        <w:autoSpaceDN/>
        <w:bidi w:val="0"/>
        <w:spacing w:line="600" w:lineRule="exact"/>
        <w:ind w:firstLine="66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pPr>
        <w:keepNext w:val="0"/>
        <w:keepLines w:val="0"/>
        <w:kinsoku/>
        <w:wordWrap/>
        <w:overflowPunct/>
        <w:topLinePunct w:val="0"/>
        <w:autoSpaceDE/>
        <w:autoSpaceDN/>
        <w:bidi w:val="0"/>
        <w:spacing w:line="600" w:lineRule="exact"/>
        <w:ind w:firstLine="63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①中标之后拒绝签订合同或拒绝履行合同，视影响运输严重程度单次扣3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keepNext w:val="0"/>
        <w:keepLines w:val="0"/>
        <w:kinsoku/>
        <w:wordWrap/>
        <w:overflowPunct/>
        <w:topLinePunct w:val="0"/>
        <w:autoSpaceDE/>
        <w:autoSpaceDN/>
        <w:bidi w:val="0"/>
        <w:spacing w:line="600" w:lineRule="exact"/>
        <w:ind w:firstLine="640" w:firstLineChars="200"/>
        <w:rPr>
          <w:rFonts w:hint="eastAsia" w:ascii="方正仿宋简体" w:hAnsi="方正仿宋简体" w:eastAsia="方正仿宋简体" w:cs="方正仿宋简体"/>
          <w:bCs/>
          <w:sz w:val="32"/>
          <w:szCs w:val="32"/>
          <w:highlight w:val="yellow"/>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pPr>
        <w:spacing w:line="600" w:lineRule="exact"/>
        <w:ind w:firstLine="640" w:firstLineChars="200"/>
        <w:rPr>
          <w:rFonts w:hint="eastAsia"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pPr>
        <w:spacing w:line="600" w:lineRule="exact"/>
        <w:ind w:firstLine="675"/>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highlight w:val="none"/>
          <w:lang w:val="en-US" w:eastAsia="zh-CN"/>
        </w:rPr>
        <w:t>采购部门</w:t>
      </w:r>
      <w:r>
        <w:rPr>
          <w:rFonts w:hint="eastAsia" w:ascii="方正仿宋简体" w:hAnsi="方正仿宋简体" w:eastAsia="方正仿宋简体" w:cs="方正仿宋简体"/>
          <w:sz w:val="32"/>
          <w:szCs w:val="32"/>
          <w:highlight w:val="none"/>
        </w:rPr>
        <w:t>牵头组织相关部门对供应商提供的文件材料进行确认，必要时组织现场考察；</w:t>
      </w:r>
    </w:p>
    <w:p>
      <w:pPr>
        <w:spacing w:line="600" w:lineRule="exact"/>
        <w:ind w:firstLine="675"/>
        <w:rPr>
          <w:rFonts w:hint="eastAsia"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eastAsia" w:ascii="方正仿宋简体" w:hAnsi="方正仿宋简体" w:eastAsia="方正仿宋简体" w:cs="方正仿宋简体"/>
          <w:color w:val="000000"/>
          <w:sz w:val="32"/>
          <w:szCs w:val="32"/>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9"/>
                            <w:jc w:val="center"/>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t>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right"/>
      <w:rPr>
        <w:rFonts w:hint="eastAsia" w:eastAsia="宋体"/>
        <w:lang w:eastAsia="zh-CN"/>
      </w:rPr>
    </w:pPr>
    <w:r>
      <w:rPr>
        <w:rFonts w:hint="eastAsia"/>
        <w:lang w:val="en-US" w:eastAsia="zh-CN"/>
      </w:rPr>
      <w:t>镇江海纳川物流产业发展</w:t>
    </w:r>
    <w:r>
      <w:rPr>
        <w:rFonts w:hint="eastAsia"/>
        <w:lang w:eastAsia="zh-CN"/>
      </w:rPr>
      <w:t>有限</w:t>
    </w:r>
    <w:r>
      <w:rPr>
        <w:rFonts w:hint="eastAsia"/>
        <w:lang w:val="en-US" w:eastAsia="zh-CN"/>
      </w:rPr>
      <w:t>责任</w:t>
    </w:r>
    <w:r>
      <w:rPr>
        <w:rFonts w:hint="eastAsia"/>
        <w:lang w:eastAsia="zh-CN"/>
      </w:rPr>
      <w:t>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13EF7"/>
    <w:multiLevelType w:val="singleLevel"/>
    <w:tmpl w:val="58613EF7"/>
    <w:lvl w:ilvl="0" w:tentative="0">
      <w:start w:val="2"/>
      <w:numFmt w:val="chineseCounting"/>
      <w:suff w:val="nothing"/>
      <w:lvlText w:val="（%1）"/>
      <w:lvlJc w:val="left"/>
      <w:rPr>
        <w:rFonts w:hint="eastAsia"/>
      </w:rPr>
    </w:lvl>
  </w:abstractNum>
  <w:abstractNum w:abstractNumId="1">
    <w:nsid w:val="7A45D22C"/>
    <w:multiLevelType w:val="singleLevel"/>
    <w:tmpl w:val="7A45D22C"/>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NDY2YTI5NjhmZmZjMjIxYzU0Y2ZmMTU3ZjJkNmIifQ=="/>
  </w:docVars>
  <w:rsids>
    <w:rsidRoot w:val="359E47FF"/>
    <w:rsid w:val="00030F87"/>
    <w:rsid w:val="000A22DB"/>
    <w:rsid w:val="000C1845"/>
    <w:rsid w:val="000D6A23"/>
    <w:rsid w:val="001260B7"/>
    <w:rsid w:val="00160290"/>
    <w:rsid w:val="00166793"/>
    <w:rsid w:val="00193418"/>
    <w:rsid w:val="001A7FE6"/>
    <w:rsid w:val="001F16BE"/>
    <w:rsid w:val="00210C67"/>
    <w:rsid w:val="002133E5"/>
    <w:rsid w:val="002F66BD"/>
    <w:rsid w:val="00331F42"/>
    <w:rsid w:val="00355E41"/>
    <w:rsid w:val="003732C8"/>
    <w:rsid w:val="003C384A"/>
    <w:rsid w:val="00413897"/>
    <w:rsid w:val="00466243"/>
    <w:rsid w:val="004875EB"/>
    <w:rsid w:val="004975D5"/>
    <w:rsid w:val="004C1280"/>
    <w:rsid w:val="004C289D"/>
    <w:rsid w:val="004F5E27"/>
    <w:rsid w:val="006835A9"/>
    <w:rsid w:val="006D00BD"/>
    <w:rsid w:val="006D3CEC"/>
    <w:rsid w:val="007254B5"/>
    <w:rsid w:val="00753CD1"/>
    <w:rsid w:val="007875CD"/>
    <w:rsid w:val="007D630F"/>
    <w:rsid w:val="007E6E47"/>
    <w:rsid w:val="00842B41"/>
    <w:rsid w:val="00856599"/>
    <w:rsid w:val="00882A3F"/>
    <w:rsid w:val="008C785B"/>
    <w:rsid w:val="008D2F65"/>
    <w:rsid w:val="008D5377"/>
    <w:rsid w:val="0091028A"/>
    <w:rsid w:val="0093613E"/>
    <w:rsid w:val="00975ECA"/>
    <w:rsid w:val="009D1883"/>
    <w:rsid w:val="00A63D7F"/>
    <w:rsid w:val="00A7381A"/>
    <w:rsid w:val="00AB6095"/>
    <w:rsid w:val="00AC569D"/>
    <w:rsid w:val="00B353E5"/>
    <w:rsid w:val="00B51C96"/>
    <w:rsid w:val="00B74619"/>
    <w:rsid w:val="00B82CED"/>
    <w:rsid w:val="00BD78FB"/>
    <w:rsid w:val="00BF2809"/>
    <w:rsid w:val="00C258E8"/>
    <w:rsid w:val="00C56465"/>
    <w:rsid w:val="00C97E7F"/>
    <w:rsid w:val="00D24639"/>
    <w:rsid w:val="00D32CC0"/>
    <w:rsid w:val="00DD194E"/>
    <w:rsid w:val="00E45A9C"/>
    <w:rsid w:val="00E74639"/>
    <w:rsid w:val="00E9659A"/>
    <w:rsid w:val="00F16E4B"/>
    <w:rsid w:val="00F32DB5"/>
    <w:rsid w:val="00F45B42"/>
    <w:rsid w:val="00FA1409"/>
    <w:rsid w:val="00FF61CA"/>
    <w:rsid w:val="03410987"/>
    <w:rsid w:val="046814DB"/>
    <w:rsid w:val="05AC0379"/>
    <w:rsid w:val="06907ABE"/>
    <w:rsid w:val="089A4646"/>
    <w:rsid w:val="08F4320D"/>
    <w:rsid w:val="0A627E55"/>
    <w:rsid w:val="0CCD460E"/>
    <w:rsid w:val="0D6E3A8A"/>
    <w:rsid w:val="0E243A05"/>
    <w:rsid w:val="1229294F"/>
    <w:rsid w:val="123650F9"/>
    <w:rsid w:val="12BF51C2"/>
    <w:rsid w:val="1444244B"/>
    <w:rsid w:val="14EA645D"/>
    <w:rsid w:val="19181A3A"/>
    <w:rsid w:val="1BF82A57"/>
    <w:rsid w:val="225D796E"/>
    <w:rsid w:val="24150BCD"/>
    <w:rsid w:val="24EC6623"/>
    <w:rsid w:val="262D3A65"/>
    <w:rsid w:val="263C4E62"/>
    <w:rsid w:val="2BBD3669"/>
    <w:rsid w:val="2E16582B"/>
    <w:rsid w:val="2E4116FA"/>
    <w:rsid w:val="31262BAF"/>
    <w:rsid w:val="31E30FE1"/>
    <w:rsid w:val="3297427A"/>
    <w:rsid w:val="330F093A"/>
    <w:rsid w:val="3460678D"/>
    <w:rsid w:val="34E37CA8"/>
    <w:rsid w:val="359E47FF"/>
    <w:rsid w:val="35B72FCB"/>
    <w:rsid w:val="35DA3E68"/>
    <w:rsid w:val="379A3E49"/>
    <w:rsid w:val="391E61C3"/>
    <w:rsid w:val="3E9042AA"/>
    <w:rsid w:val="416D2207"/>
    <w:rsid w:val="43EC12FF"/>
    <w:rsid w:val="43EF75F5"/>
    <w:rsid w:val="44E509D4"/>
    <w:rsid w:val="47F365E3"/>
    <w:rsid w:val="49A11DC9"/>
    <w:rsid w:val="4DC0511E"/>
    <w:rsid w:val="4EC20007"/>
    <w:rsid w:val="4FAC5BC3"/>
    <w:rsid w:val="4FC61FF0"/>
    <w:rsid w:val="4FED6C4F"/>
    <w:rsid w:val="50846203"/>
    <w:rsid w:val="538763B9"/>
    <w:rsid w:val="55DC546E"/>
    <w:rsid w:val="579C3951"/>
    <w:rsid w:val="596D6B7C"/>
    <w:rsid w:val="5B1F1D55"/>
    <w:rsid w:val="5C6D5F77"/>
    <w:rsid w:val="5CEC747F"/>
    <w:rsid w:val="5EB61954"/>
    <w:rsid w:val="5EF37A25"/>
    <w:rsid w:val="65074105"/>
    <w:rsid w:val="66202ABE"/>
    <w:rsid w:val="66441755"/>
    <w:rsid w:val="66CF713B"/>
    <w:rsid w:val="67C1041C"/>
    <w:rsid w:val="68961ACE"/>
    <w:rsid w:val="69515E26"/>
    <w:rsid w:val="6D952C9D"/>
    <w:rsid w:val="6D9745DB"/>
    <w:rsid w:val="6F9E54E7"/>
    <w:rsid w:val="726141AB"/>
    <w:rsid w:val="7406451D"/>
    <w:rsid w:val="756A3232"/>
    <w:rsid w:val="77DC1105"/>
    <w:rsid w:val="783458C3"/>
    <w:rsid w:val="7A1E0C67"/>
    <w:rsid w:val="7B044DE1"/>
    <w:rsid w:val="7C5A4544"/>
    <w:rsid w:val="7DD7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9"/>
    <w:pPr>
      <w:keepNext/>
      <w:keepLines/>
      <w:spacing w:line="600" w:lineRule="exact"/>
      <w:jc w:val="center"/>
      <w:outlineLvl w:val="0"/>
    </w:pPr>
    <w:rPr>
      <w:rFonts w:ascii="Calibri" w:hAnsi="Calibri"/>
      <w:kern w:val="44"/>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Plain Text"/>
    <w:basedOn w:val="1"/>
    <w:unhideWhenUsed/>
    <w:qFormat/>
    <w:uiPriority w:val="99"/>
    <w:rPr>
      <w:rFonts w:ascii="宋体" w:hAnsi="Courier New"/>
      <w:kern w:val="0"/>
      <w:sz w:val="20"/>
      <w:szCs w:val="20"/>
    </w:rPr>
  </w:style>
  <w:style w:type="paragraph" w:styleId="5">
    <w:name w:val="Normal Indent"/>
    <w:basedOn w:val="1"/>
    <w:qFormat/>
    <w:uiPriority w:val="99"/>
    <w:pPr>
      <w:ind w:firstLine="420" w:firstLineChars="200"/>
    </w:pPr>
  </w:style>
  <w:style w:type="paragraph" w:styleId="6">
    <w:name w:val="annotation text"/>
    <w:basedOn w:val="1"/>
    <w:unhideWhenUsed/>
    <w:qFormat/>
    <w:uiPriority w:val="99"/>
    <w:pPr>
      <w:jc w:val="left"/>
    </w:pPr>
  </w:style>
  <w:style w:type="paragraph" w:styleId="7">
    <w:name w:val="Body Text Indent"/>
    <w:basedOn w:val="1"/>
    <w:unhideWhenUsed/>
    <w:qFormat/>
    <w:uiPriority w:val="0"/>
    <w:pPr>
      <w:spacing w:after="120"/>
      <w:ind w:left="420" w:leftChars="200"/>
    </w:pPr>
  </w:style>
  <w:style w:type="paragraph" w:styleId="8">
    <w:name w:val="Body Text Indent 2"/>
    <w:basedOn w:val="1"/>
    <w:qFormat/>
    <w:uiPriority w:val="99"/>
    <w:pPr>
      <w:ind w:firstLine="1040" w:firstLineChars="200"/>
      <w:jc w:val="center"/>
    </w:pPr>
    <w:rPr>
      <w:rFonts w:ascii="黑体" w:eastAsia="黑体"/>
      <w:sz w:val="52"/>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0"/>
    <w:pPr>
      <w:spacing w:before="240" w:after="60"/>
      <w:jc w:val="center"/>
      <w:outlineLvl w:val="0"/>
    </w:pPr>
    <w:rPr>
      <w:rFonts w:ascii="Cambria" w:hAnsi="Cambria"/>
      <w:b/>
      <w:bCs/>
      <w:kern w:val="0"/>
      <w:sz w:val="32"/>
      <w:szCs w:val="32"/>
    </w:rPr>
  </w:style>
  <w:style w:type="paragraph" w:styleId="12">
    <w:name w:val="Body Text First Indent 2"/>
    <w:basedOn w:val="7"/>
    <w:qFormat/>
    <w:uiPriority w:val="99"/>
    <w:pPr>
      <w:adjustRightInd w:val="0"/>
      <w:spacing w:after="0" w:line="312" w:lineRule="atLeast"/>
      <w:ind w:left="1296" w:leftChars="0"/>
      <w:textAlignment w:val="baseline"/>
    </w:pPr>
    <w:rPr>
      <w:rFonts w:eastAsia="仿宋_GB2312"/>
      <w:kern w:val="21"/>
      <w:sz w:val="32"/>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6">
    <w:name w:val="列出段落11"/>
    <w:basedOn w:val="1"/>
    <w:qFormat/>
    <w:uiPriority w:val="99"/>
    <w:pPr>
      <w:ind w:firstLine="420" w:firstLineChars="200"/>
    </w:pPr>
  </w:style>
  <w:style w:type="paragraph" w:customStyle="1" w:styleId="1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列出段落1"/>
    <w:basedOn w:val="1"/>
    <w:qFormat/>
    <w:uiPriority w:val="34"/>
    <w:pPr>
      <w:ind w:firstLine="420" w:firstLineChars="200"/>
    </w:pPr>
  </w:style>
  <w:style w:type="character" w:customStyle="1" w:styleId="19">
    <w:name w:val="font01"/>
    <w:basedOn w:val="15"/>
    <w:qFormat/>
    <w:uiPriority w:val="0"/>
    <w:rPr>
      <w:rFonts w:hint="eastAsia" w:ascii="宋体" w:hAnsi="宋体" w:eastAsia="宋体" w:cs="宋体"/>
      <w:color w:val="000000"/>
      <w:sz w:val="21"/>
      <w:szCs w:val="21"/>
      <w:u w:val="none"/>
    </w:rPr>
  </w:style>
  <w:style w:type="character" w:customStyle="1" w:styleId="20">
    <w:name w:val="font31"/>
    <w:basedOn w:val="15"/>
    <w:qFormat/>
    <w:uiPriority w:val="0"/>
    <w:rPr>
      <w:rFonts w:hint="default" w:ascii="Times New Roman" w:hAnsi="Times New Roman" w:cs="Times New Roman"/>
      <w:color w:val="000000"/>
      <w:sz w:val="21"/>
      <w:szCs w:val="21"/>
      <w:u w:val="none"/>
    </w:rPr>
  </w:style>
  <w:style w:type="character" w:customStyle="1" w:styleId="21">
    <w:name w:val="font21"/>
    <w:basedOn w:val="15"/>
    <w:qFormat/>
    <w:uiPriority w:val="0"/>
    <w:rPr>
      <w:rFonts w:hint="eastAsia" w:ascii="仿宋" w:hAnsi="仿宋" w:eastAsia="仿宋" w:cs="仿宋"/>
      <w:color w:val="000000"/>
      <w:sz w:val="24"/>
      <w:szCs w:val="24"/>
      <w:u w:val="none"/>
    </w:rPr>
  </w:style>
  <w:style w:type="character" w:customStyle="1" w:styleId="22">
    <w:name w:val="font51"/>
    <w:basedOn w:val="15"/>
    <w:qFormat/>
    <w:uiPriority w:val="0"/>
    <w:rPr>
      <w:rFonts w:hint="eastAsia" w:ascii="仿宋" w:hAnsi="仿宋" w:eastAsia="仿宋" w:cs="仿宋"/>
      <w:b/>
      <w:bCs/>
      <w:color w:val="000000"/>
      <w:sz w:val="24"/>
      <w:szCs w:val="24"/>
      <w:u w:val="none"/>
    </w:rPr>
  </w:style>
  <w:style w:type="character" w:customStyle="1" w:styleId="23">
    <w:name w:val="font11"/>
    <w:basedOn w:val="15"/>
    <w:uiPriority w:val="0"/>
    <w:rPr>
      <w:rFonts w:hint="eastAsia" w:ascii="仿宋" w:hAnsi="仿宋" w:eastAsia="仿宋" w:cs="仿宋"/>
      <w:color w:val="000000"/>
      <w:sz w:val="24"/>
      <w:szCs w:val="24"/>
      <w:u w:val="none"/>
    </w:rPr>
  </w:style>
  <w:style w:type="character" w:customStyle="1" w:styleId="24">
    <w:name w:val="font41"/>
    <w:basedOn w:val="15"/>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7313</Words>
  <Characters>9112</Characters>
  <Lines>24</Lines>
  <Paragraphs>6</Paragraphs>
  <TotalTime>1</TotalTime>
  <ScaleCrop>false</ScaleCrop>
  <LinksUpToDate>false</LinksUpToDate>
  <CharactersWithSpaces>9338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2019-12-10T03:51:00Z</dcterms:created>
  <dc:creator>Administrator</dc:creator>
  <cp:lastModifiedBy>邵蕾✨</cp:lastModifiedBy>
  <cp:lastPrinted>2023-03-16T00:26:00Z</cp:lastPrinted>
  <dcterms:modified xsi:type="dcterms:W3CDTF">2023-07-24T05:41:12Z</dcterms:modified>
  <dc:title>镇江海纳川物流产业发展有限责任公司</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CC4296A273494A819473FC671DCF8BA6_13</vt:lpwstr>
  </property>
</Properties>
</file>