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hAnsi="宋体" w:eastAsia="方正小标宋简体" w:cs="宋体"/>
        </w:rPr>
      </w:pPr>
      <w:r>
        <w:rPr>
          <w:rFonts w:hint="eastAsia" w:ascii="方正小标宋简体" w:hAnsi="宋体" w:eastAsia="方正小标宋简体" w:cs="宋体"/>
        </w:rPr>
        <w:t>镇江海纳川公铁运输有限公司</w:t>
      </w:r>
    </w:p>
    <w:p>
      <w:pPr>
        <w:pStyle w:val="4"/>
        <w:rPr>
          <w:rFonts w:ascii="方正小标宋简体" w:eastAsia="方正小标宋简体" w:cs="宋体"/>
        </w:rPr>
      </w:pPr>
      <w:r>
        <w:rPr>
          <w:rFonts w:hint="eastAsia" w:ascii="方正小标宋简体" w:hAnsi="宋体" w:eastAsia="方正小标宋简体" w:cs="宋体"/>
        </w:rPr>
        <w:t>招标文件</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w:t>
      </w:r>
      <w:r>
        <w:rPr>
          <w:rFonts w:hint="eastAsia" w:ascii="方正仿宋简体" w:hAnsi="方正仿宋简体" w:eastAsia="方正仿宋简体" w:cs="方正仿宋简体"/>
          <w:bCs/>
          <w:color w:val="FF0000"/>
          <w:sz w:val="32"/>
          <w:szCs w:val="32"/>
          <w:lang w:val="zh-CN"/>
        </w:rPr>
        <w:t>自主公开招标</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color w:val="FF0000"/>
          <w:sz w:val="32"/>
          <w:szCs w:val="32"/>
        </w:rPr>
        <w:t>欢迎具有相关资质的厂商前来投标。</w:t>
      </w:r>
    </w:p>
    <w:p>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rPr>
        <w:t xml:space="preserve"> </w:t>
      </w:r>
      <w:r>
        <w:rPr>
          <w:rFonts w:hint="eastAsia" w:ascii="方正仿宋简体" w:hAnsi="方正仿宋简体" w:eastAsia="方正仿宋简体" w:cs="方正仿宋简体"/>
          <w:bCs/>
          <w:kern w:val="1"/>
          <w:sz w:val="32"/>
          <w:szCs w:val="32"/>
          <w:u w:val="single"/>
        </w:rPr>
        <w:t>20230725公铁运输生产备件采购</w:t>
      </w:r>
      <w:r>
        <w:rPr>
          <w:rFonts w:hint="eastAsia" w:ascii="方正仿宋简体" w:hAnsi="方正仿宋简体" w:eastAsia="方正仿宋简体" w:cs="方正仿宋简体"/>
          <w:bCs/>
          <w:sz w:val="32"/>
          <w:szCs w:val="32"/>
        </w:rPr>
        <w:t>；</w:t>
      </w:r>
    </w:p>
    <w:p>
      <w:pPr>
        <w:spacing w:line="600" w:lineRule="exact"/>
        <w:ind w:firstLine="640" w:firstLineChars="200"/>
        <w:jc w:val="left"/>
        <w:rPr>
          <w:rFonts w:ascii="方正仿宋简体" w:hAnsi="方正仿宋简体" w:eastAsia="方正仿宋简体" w:cs="方正仿宋简体"/>
          <w:sz w:val="30"/>
          <w:szCs w:val="30"/>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合同签订生效后10天内供货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允许投标人按实际交货时间填写,评标时交货期作为重要参考依据</w:t>
      </w:r>
      <w:r>
        <w:rPr>
          <w:rFonts w:hint="eastAsia" w:ascii="方正仿宋简体" w:hAnsi="方正仿宋简体" w:eastAsia="方正仿宋简体" w:cs="方正仿宋简体"/>
          <w:kern w:val="1"/>
          <w:sz w:val="30"/>
          <w:szCs w:val="30"/>
        </w:rPr>
        <w:t>）</w:t>
      </w:r>
      <w:bookmarkStart w:id="0" w:name="_GoBack"/>
      <w:bookmarkEnd w:id="0"/>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 </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投标截止时间：</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2023年8月1日上午10点30分</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初定开标时间：</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2023年8月1日上午10点30分</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开标地点：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中标公示：中标信息将于开标后在海纳川官网公示，请各投标人登录</w:t>
      </w:r>
      <w:r>
        <w:rPr>
          <w:rFonts w:hint="eastAsia" w:ascii="方正仿宋简体" w:hAnsi="方正仿宋简体" w:eastAsia="方正仿宋简体" w:cs="方正仿宋简体"/>
          <w:bCs/>
          <w:sz w:val="32"/>
          <w:szCs w:val="32"/>
        </w:rPr>
        <w:t>http://www.zjshnc.com</w:t>
      </w:r>
      <w:r>
        <w:rPr>
          <w:rFonts w:hint="eastAsia" w:ascii="方正仿宋简体" w:hAnsi="方正仿宋简体" w:eastAsia="方正仿宋简体" w:cs="方正仿宋简体"/>
          <w:sz w:val="32"/>
          <w:szCs w:val="32"/>
        </w:rPr>
        <w:t>查询。</w:t>
      </w:r>
    </w:p>
    <w:p>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二、招标内容</w:t>
      </w:r>
    </w:p>
    <w:p>
      <w:pPr>
        <w:pStyle w:val="4"/>
        <w:ind w:firstLine="640" w:firstLineChars="200"/>
        <w:jc w:val="both"/>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pPr>
        <w:spacing w:line="360" w:lineRule="auto"/>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 xml:space="preserve">    2.技术要求</w:t>
      </w:r>
    </w:p>
    <w:p>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投标方必须严格按照我公司招标文件中要求报价供货，所供产品必须符合相应国家或行业有关技术标准和安全规范要求，不符合标书要求的按</w:t>
      </w:r>
      <w:r>
        <w:rPr>
          <w:rFonts w:hint="eastAsia" w:ascii="方正仿宋简体" w:hAnsi="方正仿宋简体" w:eastAsia="方正仿宋简体" w:cs="方正仿宋简体"/>
          <w:bCs/>
          <w:color w:val="FF0000"/>
          <w:kern w:val="1"/>
          <w:sz w:val="32"/>
          <w:szCs w:val="32"/>
        </w:rPr>
        <w:t>废标</w:t>
      </w:r>
      <w:r>
        <w:rPr>
          <w:rFonts w:hint="eastAsia" w:ascii="方正仿宋简体" w:hAnsi="方正仿宋简体" w:eastAsia="方正仿宋简体" w:cs="方正仿宋简体"/>
          <w:kern w:val="1"/>
          <w:sz w:val="32"/>
          <w:szCs w:val="32"/>
        </w:rPr>
        <w:t>处理。</w:t>
      </w:r>
    </w:p>
    <w:p>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三、投标人资质与要求</w:t>
      </w:r>
      <w:r>
        <w:rPr>
          <w:rFonts w:hint="eastAsia" w:ascii="方正仿宋简体" w:hAnsi="方正仿宋简体" w:eastAsia="方正仿宋简体" w:cs="方正仿宋简体"/>
          <w:b/>
          <w:color w:val="FF0000"/>
          <w:kern w:val="1"/>
          <w:sz w:val="32"/>
          <w:szCs w:val="32"/>
        </w:rPr>
        <w:t>（未按要求作废标处理）</w:t>
      </w:r>
    </w:p>
    <w:p>
      <w:pPr>
        <w:spacing w:line="360" w:lineRule="auto"/>
        <w:ind w:firstLine="640" w:firstLineChars="200"/>
        <w:jc w:val="left"/>
        <w:rPr>
          <w:rFonts w:ascii="方正仿宋简体" w:hAnsi="方正仿宋简体" w:eastAsia="方正仿宋简体" w:cs="方正仿宋简体"/>
          <w:sz w:val="32"/>
          <w:szCs w:val="32"/>
          <w:u w:val="single"/>
        </w:rPr>
      </w:pPr>
      <w:r>
        <w:rPr>
          <w:rFonts w:hint="eastAsia" w:ascii="方正仿宋简体" w:hAnsi="仿宋_GB2312" w:eastAsia="方正仿宋简体" w:cs="仿宋_GB2312"/>
          <w:kern w:val="1"/>
          <w:sz w:val="32"/>
          <w:szCs w:val="32"/>
        </w:rPr>
        <w:t>1．</w:t>
      </w:r>
      <w:r>
        <w:rPr>
          <w:rFonts w:hint="eastAsia" w:ascii="方正仿宋简体" w:hAnsi="方正仿宋简体" w:eastAsia="方正仿宋简体" w:cs="方正仿宋简体"/>
          <w:sz w:val="32"/>
          <w:szCs w:val="32"/>
        </w:rPr>
        <w:t>投标时需提供的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sz w:val="32"/>
          <w:szCs w:val="32"/>
          <w:u w:val="single"/>
        </w:rPr>
        <w:t>：1)《营业执照》（复印件</w:t>
      </w:r>
      <w:r>
        <w:rPr>
          <w:rFonts w:hint="eastAsia" w:ascii="方正仿宋简体" w:hAnsi="方正仿宋简体" w:eastAsia="方正仿宋简体" w:cs="方正仿宋简体"/>
          <w:kern w:val="1"/>
          <w:sz w:val="32"/>
          <w:szCs w:val="32"/>
          <w:u w:val="single"/>
        </w:rPr>
        <w:t>需盖公章）、 2)</w:t>
      </w:r>
      <w:r>
        <w:rPr>
          <w:rFonts w:hint="eastAsia" w:ascii="方正仿宋简体" w:hAnsi="方正仿宋简体" w:eastAsia="方正仿宋简体" w:cs="方正仿宋简体"/>
          <w:sz w:val="32"/>
          <w:szCs w:val="32"/>
          <w:u w:val="single"/>
        </w:rPr>
        <w:t>报价函（</w:t>
      </w:r>
      <w:r>
        <w:rPr>
          <w:rFonts w:hint="eastAsia" w:ascii="方正仿宋简体" w:hAnsi="方正仿宋简体" w:eastAsia="方正仿宋简体" w:cs="方正仿宋简体"/>
          <w:kern w:val="1"/>
          <w:sz w:val="32"/>
          <w:szCs w:val="32"/>
          <w:u w:val="single"/>
        </w:rPr>
        <w:t>需盖公章,签字处需手签，打印无效）。</w:t>
      </w:r>
    </w:p>
    <w:p>
      <w:pPr>
        <w:pStyle w:val="2"/>
        <w:spacing w:after="0" w:line="600" w:lineRule="exact"/>
        <w:ind w:firstLine="640" w:firstLineChars="200"/>
        <w:rPr>
          <w:rFonts w:ascii="方正仿宋简体" w:hAnsi="方正仿宋简体" w:eastAsia="方正仿宋简体" w:cs="方正仿宋简体"/>
          <w:bCs/>
          <w:color w:val="FF0000"/>
          <w:sz w:val="30"/>
          <w:szCs w:val="30"/>
        </w:rPr>
      </w:pPr>
      <w:r>
        <w:rPr>
          <w:rFonts w:hint="eastAsia" w:ascii="方正仿宋简体" w:hAnsi="方正仿宋简体" w:eastAsia="方正仿宋简体" w:cs="方正仿宋简体"/>
          <w:bCs/>
          <w:color w:val="FF0000"/>
          <w:kern w:val="1"/>
          <w:sz w:val="32"/>
          <w:szCs w:val="32"/>
        </w:rPr>
        <w:t>2.</w:t>
      </w:r>
      <w:r>
        <w:rPr>
          <w:rFonts w:hint="eastAsia" w:ascii="方正仿宋简体" w:hAnsi="方正仿宋简体" w:eastAsia="方正仿宋简体" w:cs="方正仿宋简体"/>
          <w:bCs/>
          <w:color w:val="FF0000"/>
          <w:sz w:val="30"/>
          <w:szCs w:val="30"/>
        </w:rPr>
        <w:t>不接受被列入失信被执行人、重大违法案件当事人投标；</w:t>
      </w:r>
    </w:p>
    <w:p>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w:t>
      </w:r>
      <w:r>
        <w:rPr>
          <w:rFonts w:hint="eastAsia" w:ascii="方正仿宋简体" w:hAnsi="方正仿宋简体" w:eastAsia="方正仿宋简体" w:cs="方正仿宋简体"/>
          <w:bCs/>
          <w:kern w:val="1"/>
          <w:sz w:val="32"/>
          <w:szCs w:val="32"/>
        </w:rPr>
        <w:t>投标人应</w:t>
      </w:r>
      <w:r>
        <w:rPr>
          <w:rFonts w:hint="eastAsia" w:ascii="方正仿宋简体" w:hAnsi="方正仿宋简体" w:eastAsia="方正仿宋简体" w:cs="方正仿宋简体"/>
          <w:bCs/>
          <w:sz w:val="32"/>
          <w:szCs w:val="32"/>
        </w:rPr>
        <w:t>具备良好的售后服务能力，要求电话联系后</w:t>
      </w:r>
    </w:p>
    <w:p>
      <w:pPr>
        <w:adjustRightInd w:val="0"/>
        <w:snapToGrid w:val="0"/>
        <w:spacing w:line="60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u w:val="single"/>
        </w:rPr>
        <w:t xml:space="preserve"> 24小时 </w:t>
      </w:r>
      <w:r>
        <w:rPr>
          <w:rFonts w:hint="eastAsia" w:ascii="方正仿宋简体" w:hAnsi="方正仿宋简体" w:eastAsia="方正仿宋简体" w:cs="方正仿宋简体"/>
          <w:bCs/>
          <w:sz w:val="32"/>
          <w:szCs w:val="32"/>
        </w:rPr>
        <w:t>内必须给予回复，明确解决方案，</w:t>
      </w:r>
      <w:r>
        <w:rPr>
          <w:rFonts w:hint="eastAsia" w:ascii="方正仿宋简体" w:hAnsi="方正仿宋简体" w:eastAsia="方正仿宋简体" w:cs="方正仿宋简体"/>
          <w:sz w:val="32"/>
          <w:szCs w:val="32"/>
        </w:rPr>
        <w:t>必要时需来我公司作技术指导</w:t>
      </w:r>
      <w:r>
        <w:rPr>
          <w:rFonts w:hint="eastAsia" w:ascii="方正仿宋简体" w:hAnsi="方正仿宋简体" w:eastAsia="方正仿宋简体" w:cs="方正仿宋简体"/>
          <w:bCs/>
          <w:sz w:val="32"/>
          <w:szCs w:val="32"/>
        </w:rPr>
        <w:t>；</w:t>
      </w:r>
    </w:p>
    <w:p>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kern w:val="1"/>
          <w:sz w:val="32"/>
          <w:szCs w:val="32"/>
        </w:rPr>
        <w:t>4.</w:t>
      </w:r>
      <w:r>
        <w:rPr>
          <w:rFonts w:hint="eastAsia" w:ascii="方正仿宋简体" w:hAnsi="方正仿宋简体" w:eastAsia="方正仿宋简体" w:cs="方正仿宋简体"/>
          <w:bCs/>
          <w:sz w:val="32"/>
          <w:szCs w:val="32"/>
        </w:rPr>
        <w:t>投标人所供产品引起的知识产权方面的纠纷，由投标人承担一切后果，招标人不承担任何责任。</w:t>
      </w:r>
    </w:p>
    <w:p>
      <w:pPr>
        <w:pStyle w:val="3"/>
        <w:spacing w:line="600" w:lineRule="exact"/>
        <w:ind w:firstLine="640" w:firstLineChars="200"/>
        <w:rPr>
          <w:rFonts w:ascii="方正仿宋简体" w:hAnsi="方正仿宋简体" w:eastAsia="方正仿宋简体" w:cs="方正仿宋简体"/>
          <w:bCs/>
          <w:sz w:val="32"/>
          <w:szCs w:val="32"/>
        </w:rPr>
      </w:pPr>
      <w:r>
        <w:rPr>
          <w:rFonts w:hint="eastAsia" w:ascii="方正黑体_GBK" w:hAnsi="方正黑体_GBK" w:eastAsia="方正黑体_GBK" w:cs="方正黑体_GBK"/>
          <w:kern w:val="2"/>
          <w:sz w:val="32"/>
          <w:szCs w:val="32"/>
        </w:rPr>
        <w:t>四、投标</w:t>
      </w:r>
    </w:p>
    <w:p>
      <w:pPr>
        <w:pStyle w:val="3"/>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rPr>
        <w:t>买受人自收到标的物验收合格并且收到出卖人开具的增值税发票后</w:t>
      </w:r>
      <w:r>
        <w:rPr>
          <w:rFonts w:hint="eastAsia" w:ascii="方正仿宋简体" w:hAnsi="方正仿宋简体" w:eastAsia="方正仿宋简体" w:cs="方正仿宋简体"/>
          <w:b/>
          <w:kern w:val="1"/>
          <w:sz w:val="32"/>
          <w:szCs w:val="32"/>
          <w:u w:val="single"/>
        </w:rPr>
        <w:t>60日内以银行承兑</w:t>
      </w:r>
      <w:r>
        <w:rPr>
          <w:rFonts w:hint="eastAsia" w:ascii="方正仿宋简体" w:hAnsi="方正仿宋简体" w:eastAsia="方正仿宋简体" w:cs="方正仿宋简体"/>
          <w:kern w:val="1"/>
          <w:sz w:val="32"/>
          <w:szCs w:val="32"/>
          <w:u w:val="single"/>
        </w:rPr>
        <w:t>方式付款，本次招标</w:t>
      </w:r>
      <w:r>
        <w:rPr>
          <w:rFonts w:hint="eastAsia" w:ascii="方正仿宋简体" w:hAnsi="方正仿宋简体" w:eastAsia="方正仿宋简体" w:cs="方正仿宋简体"/>
          <w:b/>
          <w:color w:val="FF0000"/>
          <w:kern w:val="1"/>
          <w:sz w:val="32"/>
          <w:szCs w:val="32"/>
          <w:u w:val="single"/>
        </w:rPr>
        <w:t>不接受</w:t>
      </w:r>
      <w:r>
        <w:rPr>
          <w:rFonts w:hint="eastAsia" w:ascii="方正仿宋简体" w:hAnsi="方正仿宋简体" w:eastAsia="方正仿宋简体" w:cs="方正仿宋简体"/>
          <w:b/>
          <w:kern w:val="1"/>
          <w:sz w:val="32"/>
          <w:szCs w:val="32"/>
          <w:u w:val="single"/>
        </w:rPr>
        <w:t>款到发货</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如投标人不接受招标人提出的付款方式，可在报价书中明确能够接受的付款方式及付款时间，评标时作为参考。报价为含税价，请注明税率。</w:t>
      </w:r>
      <w:r>
        <w:rPr>
          <w:rFonts w:hint="eastAsia" w:ascii="方正仿宋简体" w:hAnsi="方正仿宋简体" w:eastAsia="方正仿宋简体" w:cs="方正仿宋简体"/>
          <w:bCs/>
          <w:kern w:val="1"/>
          <w:sz w:val="32"/>
          <w:szCs w:val="32"/>
        </w:rPr>
        <w:t>）</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本项目投标可通过线上和线下两种方式进行：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1.采用线上投标需严格按照1688线上格式要求填写报价，同时上传招标文件中所规定的</w:t>
      </w:r>
      <w:r>
        <w:rPr>
          <w:rFonts w:hint="eastAsia" w:ascii="方正仿宋简体" w:hAnsi="方正仿宋简体" w:eastAsia="方正仿宋简体" w:cs="方正仿宋简体"/>
          <w:b/>
          <w:sz w:val="32"/>
          <w:szCs w:val="32"/>
        </w:rPr>
        <w:t>必备</w:t>
      </w:r>
      <w:r>
        <w:rPr>
          <w:rFonts w:hint="eastAsia" w:ascii="方正仿宋简体" w:hAnsi="方正仿宋简体" w:eastAsia="方正仿宋简体" w:cs="方正仿宋简体"/>
          <w:b/>
          <w:bCs/>
          <w:kern w:val="1"/>
          <w:sz w:val="32"/>
          <w:szCs w:val="32"/>
        </w:rPr>
        <w:t>材料</w:t>
      </w:r>
      <w:r>
        <w:rPr>
          <w:rFonts w:hint="eastAsia" w:ascii="方正仿宋简体" w:hAnsi="方正仿宋简体" w:eastAsia="方正仿宋简体" w:cs="方正仿宋简体"/>
          <w:bCs/>
          <w:color w:val="FF0000"/>
          <w:kern w:val="1"/>
          <w:sz w:val="32"/>
          <w:szCs w:val="32"/>
        </w:rPr>
        <w:t>（加盖公章）</w:t>
      </w:r>
      <w:r>
        <w:rPr>
          <w:rFonts w:hint="eastAsia" w:ascii="方正仿宋简体" w:hAnsi="方正仿宋简体" w:eastAsia="方正仿宋简体" w:cs="方正仿宋简体"/>
          <w:bCs/>
          <w:kern w:val="1"/>
          <w:sz w:val="32"/>
          <w:szCs w:val="32"/>
        </w:rPr>
        <w:t>。</w:t>
      </w:r>
    </w:p>
    <w:p>
      <w:pPr>
        <w:wordWrap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bCs/>
          <w:kern w:val="1"/>
          <w:sz w:val="32"/>
          <w:szCs w:val="32"/>
        </w:rPr>
        <w:t>2.采用线下投标应</w:t>
      </w:r>
      <w:r>
        <w:rPr>
          <w:rFonts w:hint="eastAsia" w:ascii="方正仿宋简体" w:hAnsi="方正仿宋简体" w:eastAsia="方正仿宋简体" w:cs="方正仿宋简体"/>
          <w:bCs/>
          <w:sz w:val="32"/>
          <w:szCs w:val="32"/>
        </w:rPr>
        <w:t>将报价书及相关资料以标袋形式送达，标袋外包装必须用“封条”密封，封条“格式自定”，另需加盖公章、法人章，填写密封日期；在标袋封面上需注明“投标项目名称，投标方名称、地址、联系人、联系电话”等；</w:t>
      </w:r>
      <w:r>
        <w:rPr>
          <w:rFonts w:hint="eastAsia" w:ascii="方正仿宋简体" w:hAnsi="方正仿宋简体" w:eastAsia="方正仿宋简体" w:cs="方正仿宋简体"/>
          <w:kern w:val="1"/>
          <w:sz w:val="32"/>
          <w:szCs w:val="32"/>
        </w:rPr>
        <w:t>并要求在投标截止日之前送达，逾期将作为作</w:t>
      </w:r>
      <w:r>
        <w:rPr>
          <w:rFonts w:hint="eastAsia" w:ascii="方正仿宋简体" w:hAnsi="方正仿宋简体" w:eastAsia="方正仿宋简体" w:cs="方正仿宋简体"/>
          <w:b/>
          <w:color w:val="FF0000"/>
          <w:kern w:val="1"/>
          <w:sz w:val="32"/>
          <w:szCs w:val="32"/>
        </w:rPr>
        <w:t>废标</w:t>
      </w:r>
      <w:r>
        <w:rPr>
          <w:rFonts w:hint="eastAsia" w:ascii="方正仿宋简体" w:hAnsi="方正仿宋简体" w:eastAsia="方正仿宋简体" w:cs="方正仿宋简体"/>
          <w:kern w:val="1"/>
          <w:sz w:val="32"/>
          <w:szCs w:val="32"/>
        </w:rPr>
        <w:t>处理。</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kern w:val="1"/>
          <w:sz w:val="32"/>
          <w:szCs w:val="32"/>
        </w:rPr>
        <w:t>（四）</w:t>
      </w:r>
      <w:r>
        <w:rPr>
          <w:rFonts w:hint="eastAsia" w:ascii="方正仿宋简体" w:hAnsi="方正仿宋简体" w:eastAsia="方正仿宋简体" w:cs="方正仿宋简体"/>
          <w:kern w:val="1"/>
          <w:sz w:val="32"/>
          <w:szCs w:val="32"/>
        </w:rPr>
        <w:t>具体报价格式见</w:t>
      </w:r>
      <w:r>
        <w:rPr>
          <w:rFonts w:hint="eastAsia" w:ascii="方正仿宋简体" w:hAnsi="方正仿宋简体" w:eastAsia="方正仿宋简体" w:cs="方正仿宋简体"/>
          <w:b/>
          <w:kern w:val="1"/>
          <w:sz w:val="32"/>
          <w:szCs w:val="32"/>
        </w:rPr>
        <w:t>报价函</w:t>
      </w:r>
      <w:r>
        <w:rPr>
          <w:rFonts w:hint="eastAsia" w:ascii="方正仿宋简体" w:hAnsi="方正仿宋简体" w:eastAsia="方正仿宋简体" w:cs="方正仿宋简体"/>
          <w:kern w:val="1"/>
          <w:sz w:val="32"/>
          <w:szCs w:val="32"/>
        </w:rPr>
        <w:t>，报价文件需提供</w:t>
      </w:r>
      <w:r>
        <w:rPr>
          <w:rFonts w:hint="eastAsia" w:ascii="方正仿宋简体" w:hAnsi="方正仿宋简体" w:eastAsia="方正仿宋简体" w:cs="方正仿宋简体"/>
          <w:color w:val="FF0000"/>
          <w:kern w:val="1"/>
          <w:sz w:val="32"/>
          <w:szCs w:val="32"/>
          <w:u w:val="single"/>
        </w:rPr>
        <w:t xml:space="preserve"> 1 </w:t>
      </w:r>
      <w:r>
        <w:rPr>
          <w:rFonts w:hint="eastAsia" w:ascii="方正仿宋简体" w:hAnsi="方正仿宋简体" w:eastAsia="方正仿宋简体" w:cs="方正仿宋简体"/>
          <w:kern w:val="1"/>
          <w:sz w:val="32"/>
          <w:szCs w:val="32"/>
        </w:rPr>
        <w:t>份；</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采用线下投标的，投标文件请密封邮寄：</w:t>
      </w:r>
    </w:p>
    <w:p>
      <w:pPr>
        <w:pStyle w:val="16"/>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镇江海纳川物流产业发展有限责任公司风险控制部</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收件人：邵蕾</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联系电话：15050893302</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凡对招标文件条款有疑义的，请在开标前按以下方式联系：</w:t>
      </w:r>
    </w:p>
    <w:p>
      <w:pPr>
        <w:pStyle w:val="16"/>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pPr>
        <w:adjustRightInd w:val="0"/>
        <w:snapToGrid w:val="0"/>
        <w:spacing w:line="600" w:lineRule="exact"/>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招标业务联系人：邵蕾     电话：15050893302</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技术部门联系人：周祥生   电话：13861358963</w:t>
      </w:r>
      <w:r>
        <w:rPr>
          <w:rFonts w:hint="eastAsia" w:ascii="方正仿宋简体" w:hAnsi="方正仿宋简体" w:eastAsia="方正仿宋简体" w:cs="方正仿宋简体"/>
          <w:bCs/>
          <w:color w:val="FF0000"/>
          <w:kern w:val="1"/>
          <w:sz w:val="32"/>
          <w:szCs w:val="32"/>
        </w:rPr>
        <w:t xml:space="preserve"> </w:t>
      </w:r>
    </w:p>
    <w:p>
      <w:pPr>
        <w:pStyle w:val="3"/>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开标、评标及废标：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开标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本项目由招标人组织评标小组负责开标工作，对各投标人报价进行评标，确定最终中标人。</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1.请各投标人保持通讯畅通，便于</w:t>
      </w:r>
      <w:r>
        <w:rPr>
          <w:rFonts w:hint="eastAsia" w:ascii="方正仿宋简体" w:hAnsi="方正仿宋简体" w:eastAsia="方正仿宋简体" w:cs="方正仿宋简体"/>
          <w:kern w:val="1"/>
          <w:sz w:val="32"/>
          <w:szCs w:val="32"/>
        </w:rPr>
        <w:t>评标小组在开标现场电话联系</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sz w:val="32"/>
          <w:szCs w:val="32"/>
        </w:rPr>
        <w:t>确认标书中的相关信息，投标人必须及时回复开标过程中招标人提出的问题，合理解释投标文件与招标文件的偏离。如评标小组开标现场10分钟内电话联系不上投标人，且投标文件与招标文件的偏离影响定标结果，则视为投标人主动放弃本项目投标，开标结束后不再接受投标人的任何解释。</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2.评标小组不得泄露各投标人的报价。   </w:t>
      </w:r>
    </w:p>
    <w:p>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评标</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采取综合评审方法进行打分，具体按价格得分、技术得分、商务得分（得分比例根据货物内容确定）三个方面进行评审，并按综合得分由高到低顺序推选一名中标候选人。</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FF0000"/>
          <w:sz w:val="32"/>
          <w:szCs w:val="32"/>
        </w:rPr>
        <w:t>本次采用该种评标方式</w:t>
      </w:r>
      <w:r>
        <w:rPr>
          <w:rFonts w:hint="eastAsia" w:ascii="方正仿宋简体" w:hAnsi="方正仿宋简体" w:eastAsia="方正仿宋简体" w:cs="方正仿宋简体"/>
          <w:sz w:val="32"/>
          <w:szCs w:val="32"/>
        </w:rPr>
        <w:t>）</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（1）在能够满足招标人技术要求及供货期要求的投标人中选择总投标价最低的一家投标人作为中标候选人。</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（2）同等价格下，质量指标、售后服务更好的为中标候选人。</w:t>
      </w:r>
    </w:p>
    <w:p>
      <w:pPr>
        <w:spacing w:line="360" w:lineRule="auto"/>
        <w:ind w:firstLine="640" w:firstLineChars="20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（3）</w:t>
      </w:r>
      <w:r>
        <w:rPr>
          <w:rFonts w:hint="eastAsia" w:ascii="方正仿宋简体" w:hAnsi="方正仿宋简体" w:eastAsia="方正仿宋简体" w:cs="方正仿宋简体"/>
          <w:bCs/>
          <w:kern w:val="1"/>
          <w:sz w:val="30"/>
          <w:szCs w:val="30"/>
        </w:rPr>
        <w:t>同等价格、同等质量下，现有供应方为中标候选人。</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废标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1.招标人如发现招标过程中有串标、陪标等扰乱招标人经营秩序的恶劣情况，经招标人评标小组评定可作废标处理，并可将相关投标方列入供应商负面清单，一年内不再接受参与投标工作。</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凡投标人不具备</w:t>
      </w:r>
      <w:r>
        <w:rPr>
          <w:rFonts w:hint="eastAsia" w:ascii="方正仿宋简体" w:hAnsi="方正仿宋简体" w:eastAsia="方正仿宋简体" w:cs="方正仿宋简体"/>
          <w:bCs/>
          <w:color w:val="FF0000"/>
          <w:kern w:val="1"/>
          <w:sz w:val="32"/>
          <w:szCs w:val="32"/>
        </w:rPr>
        <w:t>招标人明确要求资质的</w:t>
      </w:r>
      <w:r>
        <w:rPr>
          <w:rFonts w:hint="eastAsia" w:ascii="方正仿宋简体" w:hAnsi="方正仿宋简体" w:eastAsia="方正仿宋简体" w:cs="方正仿宋简体"/>
          <w:bCs/>
          <w:kern w:val="1"/>
          <w:sz w:val="32"/>
          <w:szCs w:val="32"/>
        </w:rPr>
        <w:t>，或投标文件填写不完整、报价有空项的，或不符合技术要求条款的，或者存在其他不符合招标人有关要求的问题，经招标人评标小组评定，可作废标处理。</w:t>
      </w:r>
    </w:p>
    <w:p>
      <w:pPr>
        <w:pStyle w:val="3"/>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如出卖人没有按照规定的时间交货或提供服务，出卖人将支付违约金，违约金应从货款中扣除，迟交货物或未提供服务的违约金逾期每日应按合同总金额的1%计收。但迟交货物或未提供服务超过20日，买受人有权解除合同,要求出卖人五个工作日内返还买受人合同货款并按合同总额20%追究出卖人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2.出卖人交货后，如果货物经检验不合格的，买受人可选择以下处理方式：</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买受人选择换货的，换货所产生的费用由出卖人承担。经买受人同意出卖人换货的，需在买受人第一次验收不合格之日起30日内供货，逾期供货的，违约责任参照第1款执行。如果出现两次经检验不合格的情况，买受人有权解除合同，出卖人需在检验不合格之日起五个工作日内返还买受人合同货款，并赔偿合同总货款的20%违约金给买受人，买受人在出卖人返还货款之前，有权质押货物，质押期间如产生仓储费，该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买受人选择解除合同的，退货所产生的费用由出卖人承担。出卖人需在检验不合格之日起五个工作日内返还买受人合同货款，并赔偿合同总货款的20%违约金给买受人，买受人在出卖人返还货款之前，有权质押货物，质押期间如产生仓储费，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3.因出卖人的产品质量、逾期交货等原因给买受人造成直接和间接经济损失的，由出卖人承担。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中标人应严格按照标书约定与招标方签定供需合同，并按合同约定做好物资供应和服务工作。对中标人所有违背标书及合同约定的行为，招标人均可持续保留与中标方中止合作的一切权利。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对需检验的品种，经招标人检验部门检验合格后方能收货，否则做退、换货处理；长期合约的中标人如出现三次产品质量不合格的情况，视为中标人无能力保障产品质量，招标人有权终止此次招标合同的执行。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对不合格货品招标人应及时通知中标人，如有异议双方可协商解决；如需仲裁，应按合同约定在规定时间内按《产品质量仲裁检验和产品质量鉴定管理办法》执行。仲裁期间中标人应保证招标人供应，不影响招标人正常生产运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如因投标人不能正常履约，对招标人生产经营活动造成影响的，招标人可向阿里巴巴公司投诉；如严重影响招标人生产经营活动的，招标人将依法追究投标方法律责任。</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投标人在中标后无正当理由不与招标人签订合同的，将承担违约责任，列入招标人供应商负面清单；若为阿里巴巴平台投标，同时招标人将向阿里巴巴进行投诉。</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投标人应详细阅读本招标书，参与报价投标即视为对本招标书所列之条款均表示接受。</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招标人对违反约定的投标人或中标人将按《镇江海纳川物流产业发展有限责任公司招标采购管理规定》中供应商管理对投标人进行管理考核（详见附件1）。</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外协作业人员需先进行安全教育培训。</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（十）</w:t>
      </w:r>
      <w:r>
        <w:rPr>
          <w:rFonts w:hint="eastAsia" w:ascii="方正仿宋简体" w:hAnsi="方正仿宋简体" w:eastAsia="方正仿宋简体" w:cs="方正仿宋简体"/>
          <w:bCs/>
          <w:kern w:val="1"/>
          <w:sz w:val="32"/>
          <w:szCs w:val="32"/>
        </w:rPr>
        <w:t>本次招标为企业自主公开招标，属生产经营性商务行为，解释权归镇江海纳川物流产业发展有限责任公司所有。</w:t>
      </w:r>
    </w:p>
    <w:p>
      <w:pPr>
        <w:pStyle w:val="2"/>
        <w:spacing w:after="0" w:line="600" w:lineRule="exac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w:t>
      </w: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3"/>
        <w:rPr>
          <w:rFonts w:ascii="方正仿宋简体" w:hAnsi="方正仿宋简体" w:eastAsia="方正仿宋简体" w:cs="方正仿宋简体"/>
          <w:bCs/>
          <w:kern w:val="1"/>
          <w:sz w:val="32"/>
          <w:szCs w:val="32"/>
        </w:rPr>
      </w:pPr>
    </w:p>
    <w:p>
      <w:pPr>
        <w:pStyle w:val="4"/>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报价函</w:t>
      </w:r>
    </w:p>
    <w:p>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镇江海纳川公铁运输有限公司：</w:t>
      </w:r>
    </w:p>
    <w:p>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；授权全权代表姓名、职务、职称：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为全权代表，参加贵方组织的招标有关活动，并对该项目进行投标。</w:t>
      </w:r>
    </w:p>
    <w:p>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rPr>
        <w:t>投标项目的总投标价（含税）为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72"/>
        <w:gridCol w:w="1625"/>
        <w:gridCol w:w="1409"/>
        <w:gridCol w:w="563"/>
        <w:gridCol w:w="703"/>
        <w:gridCol w:w="986"/>
        <w:gridCol w:w="95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1"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1472"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625"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1409"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规格</w:t>
            </w:r>
          </w:p>
        </w:tc>
        <w:tc>
          <w:tcPr>
            <w:tcW w:w="563"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703"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986"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958"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732" w:type="dxa"/>
            <w:vAlign w:val="center"/>
          </w:tcPr>
          <w:p>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vAlign w:val="center"/>
          </w:tcPr>
          <w:p>
            <w:pPr>
              <w:widowControl/>
              <w:spacing w:line="0" w:lineRule="atLeas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472" w:type="dxa"/>
            <w:vAlign w:val="center"/>
          </w:tcPr>
          <w:p>
            <w:pPr>
              <w:rPr>
                <w:rFonts w:ascii="宋体" w:hAnsi="宋体" w:cs="宋体"/>
                <w:color w:val="000000"/>
                <w:sz w:val="18"/>
                <w:szCs w:val="18"/>
              </w:rPr>
            </w:pPr>
            <w:r>
              <w:rPr>
                <w:rFonts w:hint="eastAsia"/>
                <w:color w:val="000000"/>
                <w:sz w:val="18"/>
                <w:szCs w:val="18"/>
              </w:rPr>
              <w:t>行程限位开关</w:t>
            </w:r>
          </w:p>
        </w:tc>
        <w:tc>
          <w:tcPr>
            <w:tcW w:w="1625" w:type="dxa"/>
            <w:vAlign w:val="center"/>
          </w:tcPr>
          <w:p>
            <w:pPr>
              <w:rPr>
                <w:rFonts w:ascii="宋体" w:hAnsi="宋体" w:cs="宋体"/>
                <w:color w:val="000000"/>
                <w:sz w:val="18"/>
                <w:szCs w:val="18"/>
              </w:rPr>
            </w:pPr>
            <w:r>
              <w:rPr>
                <w:rFonts w:hint="eastAsia"/>
                <w:color w:val="000000"/>
                <w:sz w:val="18"/>
                <w:szCs w:val="18"/>
              </w:rPr>
              <w:t>Tend TZ5104</w:t>
            </w:r>
          </w:p>
        </w:tc>
        <w:tc>
          <w:tcPr>
            <w:tcW w:w="1409" w:type="dxa"/>
            <w:vAlign w:val="center"/>
          </w:tcPr>
          <w:p>
            <w:pPr>
              <w:rPr>
                <w:rFonts w:ascii="宋体" w:hAnsi="宋体" w:cs="宋体"/>
                <w:color w:val="000000"/>
                <w:sz w:val="18"/>
                <w:szCs w:val="18"/>
              </w:rPr>
            </w:pPr>
            <w:r>
              <w:rPr>
                <w:rFonts w:hint="eastAsia"/>
                <w:color w:val="000000"/>
                <w:sz w:val="18"/>
                <w:szCs w:val="18"/>
              </w:rPr>
              <w:t>　</w:t>
            </w:r>
          </w:p>
        </w:tc>
        <w:tc>
          <w:tcPr>
            <w:tcW w:w="563" w:type="dxa"/>
            <w:vAlign w:val="center"/>
          </w:tcPr>
          <w:p>
            <w:pPr>
              <w:jc w:val="center"/>
              <w:rPr>
                <w:rFonts w:ascii="宋体" w:hAnsi="宋体" w:cs="宋体"/>
                <w:color w:val="000000"/>
                <w:sz w:val="18"/>
                <w:szCs w:val="18"/>
              </w:rPr>
            </w:pPr>
            <w:r>
              <w:rPr>
                <w:rFonts w:hint="eastAsia"/>
                <w:color w:val="000000"/>
                <w:sz w:val="18"/>
                <w:szCs w:val="18"/>
              </w:rPr>
              <w:t>只</w:t>
            </w:r>
          </w:p>
        </w:tc>
        <w:tc>
          <w:tcPr>
            <w:tcW w:w="703" w:type="dxa"/>
            <w:vAlign w:val="center"/>
          </w:tcPr>
          <w:p>
            <w:pPr>
              <w:jc w:val="center"/>
              <w:rPr>
                <w:rFonts w:ascii="宋体" w:hAnsi="宋体" w:cs="宋体"/>
                <w:color w:val="000000"/>
                <w:sz w:val="18"/>
                <w:szCs w:val="18"/>
              </w:rPr>
            </w:pPr>
            <w:r>
              <w:rPr>
                <w:rFonts w:hint="eastAsia"/>
                <w:color w:val="000000"/>
                <w:sz w:val="18"/>
                <w:szCs w:val="18"/>
              </w:rPr>
              <w:t>10</w:t>
            </w:r>
          </w:p>
        </w:tc>
        <w:tc>
          <w:tcPr>
            <w:tcW w:w="986" w:type="dxa"/>
            <w:vAlign w:val="center"/>
          </w:tcPr>
          <w:p>
            <w:pPr>
              <w:widowControl/>
              <w:spacing w:line="0" w:lineRule="atLeast"/>
              <w:jc w:val="center"/>
              <w:rPr>
                <w:rFonts w:hint="eastAsia" w:ascii="方正仿宋简体" w:hAnsi="方正仿宋简体" w:eastAsia="方正仿宋简体" w:cs="方正仿宋简体"/>
                <w:szCs w:val="21"/>
              </w:rPr>
            </w:pPr>
          </w:p>
        </w:tc>
        <w:tc>
          <w:tcPr>
            <w:tcW w:w="958" w:type="dxa"/>
            <w:vAlign w:val="center"/>
          </w:tcPr>
          <w:p>
            <w:pPr>
              <w:widowControl/>
              <w:spacing w:line="0" w:lineRule="atLeast"/>
              <w:jc w:val="center"/>
              <w:rPr>
                <w:rFonts w:hint="eastAsia" w:ascii="方正仿宋简体" w:hAnsi="方正仿宋简体" w:eastAsia="方正仿宋简体" w:cs="方正仿宋简体"/>
                <w:szCs w:val="21"/>
              </w:rPr>
            </w:pPr>
          </w:p>
        </w:tc>
        <w:tc>
          <w:tcPr>
            <w:tcW w:w="732" w:type="dxa"/>
            <w:vAlign w:val="center"/>
          </w:tcPr>
          <w:p>
            <w:pPr>
              <w:widowControl/>
              <w:spacing w:line="0" w:lineRule="atLeast"/>
              <w:jc w:val="center"/>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vAlign w:val="center"/>
          </w:tcPr>
          <w:p>
            <w:pPr>
              <w:widowControl/>
              <w:spacing w:line="0" w:lineRule="atLeas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472" w:type="dxa"/>
            <w:vAlign w:val="center"/>
          </w:tcPr>
          <w:p>
            <w:pPr>
              <w:rPr>
                <w:rFonts w:ascii="宋体" w:hAnsi="宋体" w:cs="宋体"/>
                <w:color w:val="000000"/>
                <w:sz w:val="18"/>
                <w:szCs w:val="18"/>
              </w:rPr>
            </w:pPr>
            <w:r>
              <w:rPr>
                <w:rFonts w:hint="eastAsia"/>
                <w:color w:val="000000"/>
                <w:sz w:val="18"/>
                <w:szCs w:val="18"/>
              </w:rPr>
              <w:t>电磁制动器</w:t>
            </w:r>
          </w:p>
        </w:tc>
        <w:tc>
          <w:tcPr>
            <w:tcW w:w="1625" w:type="dxa"/>
            <w:vAlign w:val="center"/>
          </w:tcPr>
          <w:p>
            <w:pPr>
              <w:rPr>
                <w:rFonts w:ascii="宋体" w:hAnsi="宋体" w:cs="宋体"/>
                <w:color w:val="000000"/>
                <w:sz w:val="18"/>
                <w:szCs w:val="18"/>
              </w:rPr>
            </w:pPr>
            <w:r>
              <w:rPr>
                <w:rFonts w:hint="eastAsia"/>
                <w:color w:val="000000"/>
                <w:sz w:val="18"/>
                <w:szCs w:val="18"/>
              </w:rPr>
              <w:t>XDT-120</w:t>
            </w:r>
          </w:p>
        </w:tc>
        <w:tc>
          <w:tcPr>
            <w:tcW w:w="1409" w:type="dxa"/>
            <w:vAlign w:val="center"/>
          </w:tcPr>
          <w:p>
            <w:pPr>
              <w:rPr>
                <w:rFonts w:ascii="宋体" w:hAnsi="宋体" w:cs="宋体"/>
                <w:color w:val="000000"/>
                <w:sz w:val="18"/>
                <w:szCs w:val="18"/>
              </w:rPr>
            </w:pPr>
            <w:r>
              <w:rPr>
                <w:rFonts w:hint="eastAsia"/>
                <w:color w:val="000000"/>
                <w:sz w:val="18"/>
                <w:szCs w:val="18"/>
              </w:rPr>
              <w:t>详见：附图</w:t>
            </w:r>
          </w:p>
        </w:tc>
        <w:tc>
          <w:tcPr>
            <w:tcW w:w="563" w:type="dxa"/>
            <w:vAlign w:val="center"/>
          </w:tcPr>
          <w:p>
            <w:pPr>
              <w:jc w:val="center"/>
              <w:rPr>
                <w:rFonts w:ascii="宋体" w:hAnsi="宋体" w:cs="宋体"/>
                <w:color w:val="000000"/>
                <w:sz w:val="18"/>
                <w:szCs w:val="18"/>
              </w:rPr>
            </w:pPr>
            <w:r>
              <w:rPr>
                <w:rFonts w:hint="eastAsia"/>
                <w:color w:val="000000"/>
                <w:sz w:val="18"/>
                <w:szCs w:val="18"/>
              </w:rPr>
              <w:t>只</w:t>
            </w:r>
          </w:p>
        </w:tc>
        <w:tc>
          <w:tcPr>
            <w:tcW w:w="703" w:type="dxa"/>
            <w:vAlign w:val="center"/>
          </w:tcPr>
          <w:p>
            <w:pPr>
              <w:jc w:val="center"/>
              <w:rPr>
                <w:rFonts w:ascii="宋体" w:hAnsi="宋体" w:cs="宋体"/>
                <w:color w:val="000000"/>
                <w:sz w:val="18"/>
                <w:szCs w:val="18"/>
              </w:rPr>
            </w:pPr>
            <w:r>
              <w:rPr>
                <w:rFonts w:hint="eastAsia"/>
                <w:color w:val="000000"/>
                <w:sz w:val="18"/>
                <w:szCs w:val="18"/>
              </w:rPr>
              <w:t>4</w:t>
            </w:r>
          </w:p>
        </w:tc>
        <w:tc>
          <w:tcPr>
            <w:tcW w:w="986" w:type="dxa"/>
            <w:vAlign w:val="center"/>
          </w:tcPr>
          <w:p>
            <w:pPr>
              <w:widowControl/>
              <w:spacing w:line="0" w:lineRule="atLeast"/>
              <w:jc w:val="center"/>
              <w:rPr>
                <w:rFonts w:hint="eastAsia" w:ascii="方正仿宋简体" w:hAnsi="方正仿宋简体" w:eastAsia="方正仿宋简体" w:cs="方正仿宋简体"/>
                <w:szCs w:val="21"/>
              </w:rPr>
            </w:pPr>
          </w:p>
        </w:tc>
        <w:tc>
          <w:tcPr>
            <w:tcW w:w="958" w:type="dxa"/>
            <w:vAlign w:val="center"/>
          </w:tcPr>
          <w:p>
            <w:pPr>
              <w:widowControl/>
              <w:spacing w:line="0" w:lineRule="atLeast"/>
              <w:jc w:val="center"/>
              <w:rPr>
                <w:rFonts w:hint="eastAsia" w:ascii="方正仿宋简体" w:hAnsi="方正仿宋简体" w:eastAsia="方正仿宋简体" w:cs="方正仿宋简体"/>
                <w:szCs w:val="21"/>
              </w:rPr>
            </w:pPr>
          </w:p>
        </w:tc>
        <w:tc>
          <w:tcPr>
            <w:tcW w:w="732" w:type="dxa"/>
            <w:vAlign w:val="center"/>
          </w:tcPr>
          <w:p>
            <w:pPr>
              <w:widowControl/>
              <w:spacing w:line="0" w:lineRule="atLeast"/>
              <w:jc w:val="center"/>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36" w:type="dxa"/>
            <w:gridSpan w:val="4"/>
            <w:vAlign w:val="center"/>
          </w:tcPr>
          <w:p>
            <w:pPr>
              <w:widowControl/>
              <w:spacing w:line="0" w:lineRule="atLeas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以上合计总价（大写）： </w:t>
            </w:r>
          </w:p>
        </w:tc>
        <w:tc>
          <w:tcPr>
            <w:tcW w:w="3942" w:type="dxa"/>
            <w:gridSpan w:val="5"/>
            <w:vAlign w:val="center"/>
          </w:tcPr>
          <w:p>
            <w:pPr>
              <w:widowControl/>
              <w:spacing w:line="0" w:lineRule="atLeas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小写：</w:t>
            </w:r>
          </w:p>
        </w:tc>
      </w:tr>
    </w:tbl>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1.在满足招标人使用要求前提下，以报价格式</w:t>
      </w:r>
      <w:r>
        <w:rPr>
          <w:rFonts w:hint="eastAsia" w:ascii="方正仿宋简体" w:hAnsi="方正仿宋简体" w:eastAsia="方正仿宋简体" w:cs="方正仿宋简体"/>
          <w:color w:val="FF0000"/>
          <w:sz w:val="32"/>
          <w:szCs w:val="32"/>
        </w:rPr>
        <w:t>总价</w:t>
      </w:r>
      <w:r>
        <w:rPr>
          <w:rFonts w:hint="eastAsia" w:ascii="方正仿宋简体" w:hAnsi="方正仿宋简体" w:eastAsia="方正仿宋简体" w:cs="方正仿宋简体"/>
          <w:sz w:val="32"/>
          <w:szCs w:val="32"/>
        </w:rPr>
        <w:t>作为总投标价，总投标价只为确定中标单位作依据。</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2.按报价格式进行填报，每格均需填报，无报价以斜线、横线或0填满。</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rPr>
        <w:t>三.交货时间：</w:t>
      </w:r>
      <w:r>
        <w:rPr>
          <w:rFonts w:hint="eastAsia" w:ascii="方正仿宋简体" w:hAnsi="方正仿宋简体" w:eastAsia="方正仿宋简体" w:cs="方正仿宋简体"/>
          <w:kern w:val="1"/>
          <w:sz w:val="32"/>
          <w:szCs w:val="32"/>
          <w:u w:val="single"/>
        </w:rPr>
        <w:t xml:space="preserve">               </w:t>
      </w:r>
    </w:p>
    <w:p>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四.我方承诺遵守招标文件中的全部规定；</w:t>
      </w:r>
    </w:p>
    <w:p>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五.我方承诺中标后双方签订合同,并承担合同规定的责任义务；</w:t>
      </w:r>
    </w:p>
    <w:p>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sz w:val="32"/>
          <w:szCs w:val="32"/>
          <w:shd w:val="clear" w:color="auto" w:fill="FFFFFF"/>
        </w:rPr>
        <w:t>六.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七.愿意向贵方提供任何与该项投标有关的数据、情况和技术资料，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pPr>
        <w:pStyle w:val="2"/>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八.投标单位其他说明情况：</w:t>
      </w:r>
      <w:r>
        <w:rPr>
          <w:rFonts w:hint="eastAsia" w:ascii="方正仿宋简体" w:hAnsi="方正仿宋简体" w:eastAsia="方正仿宋简体" w:cs="方正仿宋简体"/>
          <w:color w:val="000000"/>
          <w:kern w:val="1"/>
          <w:sz w:val="32"/>
          <w:szCs w:val="32"/>
          <w:u w:val="single"/>
        </w:rPr>
        <w:t xml:space="preserve">               </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全权代表（签字）：</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pPr>
        <w:pStyle w:val="2"/>
        <w:rPr>
          <w:rFonts w:hint="eastAsia"/>
        </w:rPr>
      </w:pPr>
    </w:p>
    <w:p>
      <w:pPr>
        <w:pStyle w:val="3"/>
        <w:rPr>
          <w:rFonts w:hint="eastAsia"/>
        </w:rPr>
      </w:pPr>
    </w:p>
    <w:p>
      <w:pPr>
        <w:pStyle w:val="2"/>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附：电磁制动器XDT-120图</w:t>
      </w:r>
    </w:p>
    <w:p>
      <w:pPr>
        <w:pStyle w:val="2"/>
      </w:pPr>
      <w:r>
        <w:drawing>
          <wp:inline distT="0" distB="0" distL="0" distR="0">
            <wp:extent cx="5486400" cy="41148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5487163" cy="4115372"/>
                    </a:xfrm>
                    <a:prstGeom prst="rect">
                      <a:avLst/>
                    </a:prstGeom>
                    <a:noFill/>
                    <a:ln w="9525">
                      <a:noFill/>
                      <a:miter lim="800000"/>
                      <a:headEnd/>
                      <a:tailEnd/>
                    </a:ln>
                  </pic:spPr>
                </pic:pic>
              </a:graphicData>
            </a:graphic>
          </wp:inline>
        </w:drawing>
      </w:r>
    </w:p>
    <w:p>
      <w:pPr>
        <w:rPr>
          <w:rFonts w:ascii="方正小标宋简体" w:hAnsi="宋体" w:eastAsia="方正小标宋简体" w:cs="宋体"/>
          <w:b/>
          <w:bCs/>
          <w:sz w:val="32"/>
          <w:szCs w:val="32"/>
        </w:rPr>
      </w:pPr>
    </w:p>
    <w:p>
      <w:pPr>
        <w:pStyle w:val="2"/>
      </w:pPr>
    </w:p>
    <w:p>
      <w:pPr>
        <w:pStyle w:val="10"/>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pPr>
        <w:pStyle w:val="10"/>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风险控制部负责归口公司招投标负面清单，具体工作由海纳川各部室及直属单位共同承担。</w:t>
      </w: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pStyle w:val="2"/>
      </w:pP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风险控制部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现场施工人员不服从招标方安全管理的，考核5-10分。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0"/>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产品买卖合同模板</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出卖人：***公司                    　　  </w:t>
      </w:r>
    </w:p>
    <w:p>
      <w:pPr>
        <w:spacing w:line="600" w:lineRule="exact"/>
        <w:ind w:left="319" w:leftChars="152" w:firstLine="320" w:firstLineChars="1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买受人：</w:t>
      </w:r>
      <w:r>
        <w:rPr>
          <w:rFonts w:hint="eastAsia" w:ascii="方正仿宋简体" w:hAnsi="方正仿宋简体" w:eastAsia="方正仿宋简体" w:cs="方正仿宋简体"/>
          <w:sz w:val="28"/>
          <w:szCs w:val="28"/>
        </w:rPr>
        <w:t>镇江海纳川公铁运输有限公司</w:t>
      </w:r>
      <w:r>
        <w:rPr>
          <w:rFonts w:hint="eastAsia" w:ascii="方正仿宋简体" w:hAnsi="方正仿宋简体" w:eastAsia="方正仿宋简体" w:cs="方正仿宋简体"/>
          <w:sz w:val="32"/>
          <w:szCs w:val="32"/>
        </w:rPr>
        <w:t xml:space="preserve">  </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签订地点：江苏省镇江市京口区</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签订时间：****年*月*日          　　 </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p>
    <w:tbl>
      <w:tblPr>
        <w:tblStyle w:val="12"/>
        <w:tblpPr w:leftFromText="180" w:rightFromText="180" w:vertAnchor="text" w:horzAnchor="margin" w:tblpY="-3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4"/>
        <w:gridCol w:w="1276"/>
        <w:gridCol w:w="2268"/>
        <w:gridCol w:w="534"/>
        <w:gridCol w:w="56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25"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序号</w:t>
            </w:r>
          </w:p>
        </w:tc>
        <w:tc>
          <w:tcPr>
            <w:tcW w:w="1134"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标的名称</w:t>
            </w:r>
          </w:p>
        </w:tc>
        <w:tc>
          <w:tcPr>
            <w:tcW w:w="1276"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型号</w:t>
            </w:r>
          </w:p>
        </w:tc>
        <w:tc>
          <w:tcPr>
            <w:tcW w:w="2268"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规格</w:t>
            </w:r>
          </w:p>
        </w:tc>
        <w:tc>
          <w:tcPr>
            <w:tcW w:w="534"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w:t>
            </w:r>
          </w:p>
        </w:tc>
        <w:tc>
          <w:tcPr>
            <w:tcW w:w="567"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w:t>
            </w:r>
          </w:p>
        </w:tc>
        <w:tc>
          <w:tcPr>
            <w:tcW w:w="1134"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134"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总价   （含税）</w:t>
            </w:r>
          </w:p>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5"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w:t>
            </w:r>
          </w:p>
        </w:tc>
        <w:tc>
          <w:tcPr>
            <w:tcW w:w="1134" w:type="dxa"/>
            <w:vAlign w:val="center"/>
          </w:tcPr>
          <w:p>
            <w:pPr>
              <w:widowControl/>
              <w:jc w:val="center"/>
              <w:rPr>
                <w:rFonts w:ascii="方正仿宋简体" w:hAnsi="方正仿宋简体" w:eastAsia="方正仿宋简体" w:cs="方正仿宋简体"/>
                <w:sz w:val="18"/>
                <w:szCs w:val="18"/>
              </w:rPr>
            </w:pPr>
          </w:p>
        </w:tc>
        <w:tc>
          <w:tcPr>
            <w:tcW w:w="1276" w:type="dxa"/>
            <w:vAlign w:val="center"/>
          </w:tcPr>
          <w:p>
            <w:pPr>
              <w:widowControl/>
              <w:jc w:val="center"/>
              <w:rPr>
                <w:rFonts w:ascii="方正仿宋简体" w:hAnsi="方正仿宋简体" w:eastAsia="方正仿宋简体" w:cs="方正仿宋简体"/>
                <w:sz w:val="18"/>
                <w:szCs w:val="18"/>
              </w:rPr>
            </w:pPr>
          </w:p>
        </w:tc>
        <w:tc>
          <w:tcPr>
            <w:tcW w:w="2268" w:type="dxa"/>
            <w:vAlign w:val="center"/>
          </w:tcPr>
          <w:p>
            <w:pPr>
              <w:widowControl/>
              <w:jc w:val="center"/>
              <w:rPr>
                <w:rFonts w:ascii="方正仿宋简体" w:hAnsi="方正仿宋简体" w:eastAsia="方正仿宋简体" w:cs="方正仿宋简体"/>
                <w:sz w:val="18"/>
                <w:szCs w:val="18"/>
              </w:rPr>
            </w:pPr>
          </w:p>
        </w:tc>
        <w:tc>
          <w:tcPr>
            <w:tcW w:w="534" w:type="dxa"/>
            <w:vAlign w:val="center"/>
          </w:tcPr>
          <w:p>
            <w:pPr>
              <w:widowControl/>
              <w:jc w:val="center"/>
              <w:rPr>
                <w:rFonts w:ascii="方正仿宋简体" w:hAnsi="方正仿宋简体" w:eastAsia="方正仿宋简体" w:cs="方正仿宋简体"/>
                <w:sz w:val="18"/>
                <w:szCs w:val="18"/>
              </w:rPr>
            </w:pPr>
          </w:p>
        </w:tc>
        <w:tc>
          <w:tcPr>
            <w:tcW w:w="567" w:type="dxa"/>
            <w:vAlign w:val="center"/>
          </w:tcPr>
          <w:p>
            <w:pPr>
              <w:widowControl/>
              <w:jc w:val="center"/>
              <w:rPr>
                <w:rFonts w:ascii="方正仿宋简体" w:hAnsi="方正仿宋简体" w:eastAsia="方正仿宋简体" w:cs="方正仿宋简体"/>
                <w:sz w:val="18"/>
                <w:szCs w:val="18"/>
              </w:rPr>
            </w:pPr>
          </w:p>
        </w:tc>
        <w:tc>
          <w:tcPr>
            <w:tcW w:w="1134" w:type="dxa"/>
            <w:vAlign w:val="center"/>
          </w:tcPr>
          <w:p>
            <w:pPr>
              <w:widowControl/>
              <w:jc w:val="center"/>
              <w:rPr>
                <w:rFonts w:ascii="仿宋" w:hAnsi="仿宋" w:eastAsia="仿宋" w:cs="仿宋"/>
                <w:sz w:val="24"/>
                <w:szCs w:val="24"/>
              </w:rPr>
            </w:pPr>
          </w:p>
        </w:tc>
        <w:tc>
          <w:tcPr>
            <w:tcW w:w="1134" w:type="dxa"/>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25"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w:t>
            </w:r>
          </w:p>
        </w:tc>
        <w:tc>
          <w:tcPr>
            <w:tcW w:w="1134" w:type="dxa"/>
            <w:vAlign w:val="center"/>
          </w:tcPr>
          <w:p>
            <w:pPr>
              <w:widowControl/>
              <w:jc w:val="center"/>
              <w:rPr>
                <w:rFonts w:ascii="方正仿宋简体" w:hAnsi="方正仿宋简体" w:eastAsia="方正仿宋简体" w:cs="方正仿宋简体"/>
                <w:sz w:val="18"/>
                <w:szCs w:val="18"/>
              </w:rPr>
            </w:pPr>
          </w:p>
        </w:tc>
        <w:tc>
          <w:tcPr>
            <w:tcW w:w="1276" w:type="dxa"/>
            <w:vAlign w:val="center"/>
          </w:tcPr>
          <w:p>
            <w:pPr>
              <w:widowControl/>
              <w:jc w:val="center"/>
              <w:rPr>
                <w:rFonts w:ascii="方正仿宋简体" w:hAnsi="方正仿宋简体" w:eastAsia="方正仿宋简体" w:cs="方正仿宋简体"/>
                <w:sz w:val="18"/>
                <w:szCs w:val="18"/>
              </w:rPr>
            </w:pPr>
          </w:p>
        </w:tc>
        <w:tc>
          <w:tcPr>
            <w:tcW w:w="2268" w:type="dxa"/>
            <w:vAlign w:val="center"/>
          </w:tcPr>
          <w:p>
            <w:pPr>
              <w:widowControl/>
              <w:jc w:val="center"/>
              <w:rPr>
                <w:rFonts w:ascii="方正仿宋简体" w:hAnsi="方正仿宋简体" w:eastAsia="方正仿宋简体" w:cs="方正仿宋简体"/>
                <w:sz w:val="18"/>
                <w:szCs w:val="18"/>
              </w:rPr>
            </w:pPr>
          </w:p>
        </w:tc>
        <w:tc>
          <w:tcPr>
            <w:tcW w:w="534" w:type="dxa"/>
            <w:vAlign w:val="center"/>
          </w:tcPr>
          <w:p>
            <w:pPr>
              <w:widowControl/>
              <w:jc w:val="center"/>
              <w:rPr>
                <w:rFonts w:ascii="方正仿宋简体" w:hAnsi="方正仿宋简体" w:eastAsia="方正仿宋简体" w:cs="方正仿宋简体"/>
                <w:sz w:val="18"/>
                <w:szCs w:val="18"/>
              </w:rPr>
            </w:pPr>
          </w:p>
        </w:tc>
        <w:tc>
          <w:tcPr>
            <w:tcW w:w="567" w:type="dxa"/>
            <w:vAlign w:val="center"/>
          </w:tcPr>
          <w:p>
            <w:pPr>
              <w:widowControl/>
              <w:jc w:val="center"/>
              <w:rPr>
                <w:rFonts w:ascii="方正仿宋简体" w:hAnsi="方正仿宋简体" w:eastAsia="方正仿宋简体" w:cs="方正仿宋简体"/>
                <w:sz w:val="18"/>
                <w:szCs w:val="18"/>
              </w:rPr>
            </w:pPr>
          </w:p>
        </w:tc>
        <w:tc>
          <w:tcPr>
            <w:tcW w:w="1134" w:type="dxa"/>
            <w:vAlign w:val="center"/>
          </w:tcPr>
          <w:p>
            <w:pPr>
              <w:widowControl/>
              <w:jc w:val="center"/>
              <w:rPr>
                <w:rFonts w:ascii="仿宋" w:hAnsi="仿宋" w:eastAsia="仿宋" w:cs="仿宋"/>
                <w:sz w:val="24"/>
                <w:szCs w:val="24"/>
              </w:rPr>
            </w:pPr>
          </w:p>
        </w:tc>
        <w:tc>
          <w:tcPr>
            <w:tcW w:w="1134" w:type="dxa"/>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3"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 xml:space="preserve">以上合计总价（大写）： </w:t>
            </w:r>
          </w:p>
        </w:tc>
        <w:tc>
          <w:tcPr>
            <w:tcW w:w="3369"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103"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税率：**%</w:t>
            </w:r>
          </w:p>
        </w:tc>
        <w:tc>
          <w:tcPr>
            <w:tcW w:w="3369"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到货期：合同签订生效后**天</w:t>
            </w:r>
          </w:p>
        </w:tc>
      </w:tr>
    </w:tbl>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出卖人保证提供满足相关国家标准或行业标准要求的合格产品，所提供产品质量标准应该满足招标文件中规定的质量，规格，型号等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出卖人对质量负责的条件及期限</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产品质量法》、《中华人民共和国消费者权益保护法》实行“三包”即：包修、包换、包退，如果出现质量问题，未能满足买受人对产品的质量要求，买受人有权退回或者调换，产生的费用和损失由出卖人承担。</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出卖人负责送货至买受人指定地点，运费由出卖人承担。</w:t>
      </w:r>
    </w:p>
    <w:p>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根据出卖人提供的货物使用一段时间没问题验收。</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买受人自收到标的物验收合格并且收到出卖人开具的**%增值税发票后</w:t>
      </w:r>
      <w:r>
        <w:rPr>
          <w:rFonts w:hint="eastAsia" w:ascii="方正仿宋简体" w:hAnsi="方正仿宋简体" w:eastAsia="方正仿宋简体" w:cs="方正仿宋简体"/>
          <w:b/>
          <w:sz w:val="32"/>
          <w:szCs w:val="32"/>
        </w:rPr>
        <w:t>60日内以银行承兑</w:t>
      </w:r>
      <w:r>
        <w:rPr>
          <w:rFonts w:hint="eastAsia" w:ascii="方正仿宋简体" w:hAnsi="方正仿宋简体" w:eastAsia="方正仿宋简体" w:cs="方正仿宋简体"/>
          <w:sz w:val="32"/>
          <w:szCs w:val="32"/>
        </w:rPr>
        <w:t>方式付款，如果增值税税率调整，单价按新税率折算金额执行。</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如出卖人没有按照规定的时间交货或提供服务，出卖人将支付违约金，违约金应从货款中扣除，迟交货物或未提供服务的违约金逾期每日应按合同总金额的1%计收。但迟交货物或未提供服务超过20日，买受人有权解除合同,要求出卖人五个工作日内返还买受人合同货款并按合同总额20%追究出卖人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2.出卖人交货后，如果货物经检验不合格的，买受人可选择以下处理方式：</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买受人选择换货的，换货所产生的费用由出卖人承担。经买受人同意出卖人换货的，需在买受人第一次验收不合格之日起30日内供货，逾期供货的，违约责任参照第1款执行。如果出现两次经检验不合格的情况，买受人有权解除合同，出卖人需在检验不合格之日起五个工作日内返还买受人合同货款，并赔偿合同总货款的20%违约金给买受人，买受人在出卖人返还货款之前，有权质押货物，质押期间如产生仓储费，该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买受人选择解除合同的，退货所产生的费用由出卖人承担。出卖人需在检验不合格之日起五个工作日内返还买受人合同货款，并赔偿合同总货款的20%违约金给买受人，买受人在出卖人返还货款之前，有权质押货物，质押期间如产生仓储费，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3.因出卖人的产品质量、逾期交货等原因给买受人造成直接和间接经济损失的，由出卖人承担。</w:t>
      </w:r>
    </w:p>
    <w:p>
      <w:pPr>
        <w:pStyle w:val="5"/>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联系和送达方式</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1.出卖人联系人和联系方式：姓名：***； 传真： ；移动电话：***；电子邮箱：***；微信（或QQ）号：***；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2.买受人联系人和联系方式：姓名：周祥生；传真：0511-88995285；移动电话：13861358963；电子邮箱：</w:t>
      </w:r>
      <w:r>
        <w:fldChar w:fldCharType="begin"/>
      </w:r>
      <w:r>
        <w:instrText xml:space="preserve"> HYPERLINK "mailto:1386358963@139.com" </w:instrText>
      </w:r>
      <w:r>
        <w:fldChar w:fldCharType="separate"/>
      </w:r>
      <w:r>
        <w:rPr>
          <w:rFonts w:hint="eastAsia" w:ascii="方正仿宋简体" w:hAnsi="方正仿宋简体" w:eastAsia="方正仿宋简体" w:cs="方正仿宋简体"/>
          <w:sz w:val="32"/>
          <w:szCs w:val="32"/>
        </w:rPr>
        <w:t>13861358963@139.com</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；微信（或QQ）号：zxs13861358963。</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3.本协议项下的所有合同、函件、通知等以上通讯方式送达对方公司所在地，均视为法律上的有效通知和送达，不论对方是否签收或拒收。若上述联系方式发生变化，则应及时以书面方式通知对方。</w:t>
      </w:r>
      <w:r>
        <w:rPr>
          <w:rFonts w:hint="eastAsia" w:ascii="宋体" w:hAnsi="宋体" w:cs="宋体"/>
          <w:sz w:val="32"/>
          <w:szCs w:val="32"/>
        </w:rPr>
        <w:t> </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合同争议解决方式</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第十一条 其它约定事项</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4 </w:t>
      </w:r>
      <w:r>
        <w:rPr>
          <w:rFonts w:hint="eastAsia" w:ascii="方正仿宋简体" w:hAnsi="方正仿宋简体" w:eastAsia="方正仿宋简体" w:cs="方正仿宋简体"/>
          <w:sz w:val="32"/>
          <w:szCs w:val="32"/>
        </w:rPr>
        <w:t>份，出卖人执</w:t>
      </w:r>
      <w:r>
        <w:rPr>
          <w:rFonts w:hint="eastAsia" w:ascii="方正仿宋简体" w:hAnsi="方正仿宋简体" w:eastAsia="方正仿宋简体" w:cs="方正仿宋简体"/>
          <w:sz w:val="32"/>
          <w:szCs w:val="32"/>
          <w:u w:val="single"/>
        </w:rPr>
        <w:t xml:space="preserve"> 1 </w:t>
      </w:r>
      <w:r>
        <w:rPr>
          <w:rFonts w:hint="eastAsia" w:ascii="方正仿宋简体" w:hAnsi="方正仿宋简体" w:eastAsia="方正仿宋简体" w:cs="方正仿宋简体"/>
          <w:sz w:val="32"/>
          <w:szCs w:val="32"/>
        </w:rPr>
        <w:t>份，买受人执</w:t>
      </w:r>
      <w:r>
        <w:rPr>
          <w:rFonts w:hint="eastAsia" w:ascii="方正仿宋简体" w:hAnsi="方正仿宋简体" w:eastAsia="方正仿宋简体" w:cs="方正仿宋简体"/>
          <w:sz w:val="32"/>
          <w:szCs w:val="32"/>
          <w:u w:val="single"/>
        </w:rPr>
        <w:t xml:space="preserve"> 3 </w:t>
      </w:r>
      <w:r>
        <w:rPr>
          <w:rFonts w:hint="eastAsia" w:ascii="方正仿宋简体" w:hAnsi="方正仿宋简体" w:eastAsia="方正仿宋简体" w:cs="方正仿宋简体"/>
          <w:sz w:val="32"/>
          <w:szCs w:val="32"/>
        </w:rPr>
        <w:t>份，自双方签字盖章之日起生效。</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3828" w:type="dxa"/>
            <w:tcBorders>
              <w:top w:val="single" w:color="auto" w:sz="4" w:space="0"/>
              <w:left w:val="single" w:color="auto" w:sz="4" w:space="0"/>
              <w:bottom w:val="single" w:color="auto" w:sz="4" w:space="0"/>
              <w:right w:val="single" w:color="auto" w:sz="4" w:space="0"/>
            </w:tcBorders>
          </w:tcPr>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出卖人：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出卖人（合同专用章）：</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住所：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电话：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开户银行：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帐号： </w:t>
            </w:r>
          </w:p>
        </w:tc>
        <w:tc>
          <w:tcPr>
            <w:tcW w:w="5103" w:type="dxa"/>
            <w:tcBorders>
              <w:top w:val="single" w:color="auto" w:sz="4" w:space="0"/>
              <w:left w:val="single" w:color="auto" w:sz="4" w:space="0"/>
              <w:bottom w:val="single" w:color="auto" w:sz="4" w:space="0"/>
              <w:right w:val="single" w:color="auto" w:sz="4" w:space="0"/>
            </w:tcBorders>
          </w:tcPr>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买受人：镇江海纳川公铁运输有限公司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买受人（合同专用章）：</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住所：江苏省镇江市京口区谏壁镇越河街50号</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电话：0511-88995202</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开户银行：交通银行镇江分行</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帐号：381006700011000185622</w:t>
            </w:r>
          </w:p>
        </w:tc>
      </w:tr>
    </w:tbl>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本页为镇江海纳川公铁运输有限公司与***公司于****年*月*日签订的《产品买卖合同》（编号：</w:t>
      </w:r>
      <w:r>
        <w:rPr>
          <w:rFonts w:hint="eastAsia" w:ascii="微软雅黑" w:hAnsi="微软雅黑" w:eastAsia="微软雅黑"/>
          <w:color w:val="333333"/>
          <w:sz w:val="26"/>
          <w:szCs w:val="26"/>
          <w:shd w:val="clear" w:color="auto" w:fill="FFFFFF"/>
        </w:rPr>
        <w:t>HJHB-E-2023-****</w:t>
      </w:r>
      <w:r>
        <w:rPr>
          <w:rFonts w:hint="eastAsia" w:ascii="方正仿宋简体" w:hAnsi="方正仿宋简体" w:eastAsia="方正仿宋简体" w:cs="方正仿宋简体"/>
          <w:sz w:val="32"/>
          <w:szCs w:val="32"/>
        </w:rPr>
        <w:t>）合同签章页。</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rect id="文本框 2"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8"/>
                  <w:jc w:val="center"/>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t>镇江海纳川物流产业发展有限责任公司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abstractNum w:abstractNumId="1">
    <w:nsid w:val="7A45D22C"/>
    <w:multiLevelType w:val="singleLevel"/>
    <w:tmpl w:val="7A45D22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NDY2YTI5NjhmZmZjMjIxYzU0Y2ZmMTU3ZjJkNmIifQ=="/>
  </w:docVars>
  <w:rsids>
    <w:rsidRoot w:val="359E47FF"/>
    <w:rsid w:val="00030F87"/>
    <w:rsid w:val="0003693D"/>
    <w:rsid w:val="00063E06"/>
    <w:rsid w:val="000A22DB"/>
    <w:rsid w:val="000C1845"/>
    <w:rsid w:val="000D6A23"/>
    <w:rsid w:val="001260B7"/>
    <w:rsid w:val="00160290"/>
    <w:rsid w:val="00166793"/>
    <w:rsid w:val="0018234A"/>
    <w:rsid w:val="001915A1"/>
    <w:rsid w:val="00193418"/>
    <w:rsid w:val="00196EA5"/>
    <w:rsid w:val="001A7FE6"/>
    <w:rsid w:val="001C3F61"/>
    <w:rsid w:val="001F16BE"/>
    <w:rsid w:val="00210C67"/>
    <w:rsid w:val="002133E5"/>
    <w:rsid w:val="0024696A"/>
    <w:rsid w:val="002C78E1"/>
    <w:rsid w:val="002F51AC"/>
    <w:rsid w:val="002F66BD"/>
    <w:rsid w:val="0031037C"/>
    <w:rsid w:val="00325814"/>
    <w:rsid w:val="00331F42"/>
    <w:rsid w:val="00355E41"/>
    <w:rsid w:val="003674EC"/>
    <w:rsid w:val="003732C8"/>
    <w:rsid w:val="00380BAA"/>
    <w:rsid w:val="0038382E"/>
    <w:rsid w:val="00383D99"/>
    <w:rsid w:val="00394D6B"/>
    <w:rsid w:val="003B4E51"/>
    <w:rsid w:val="003B6F8B"/>
    <w:rsid w:val="003C384A"/>
    <w:rsid w:val="00413897"/>
    <w:rsid w:val="00423C19"/>
    <w:rsid w:val="004424E8"/>
    <w:rsid w:val="00466243"/>
    <w:rsid w:val="004875EB"/>
    <w:rsid w:val="004975D5"/>
    <w:rsid w:val="004C1280"/>
    <w:rsid w:val="004C289D"/>
    <w:rsid w:val="004E34E7"/>
    <w:rsid w:val="004F5E27"/>
    <w:rsid w:val="00527733"/>
    <w:rsid w:val="0053268D"/>
    <w:rsid w:val="005D4F71"/>
    <w:rsid w:val="0061433F"/>
    <w:rsid w:val="006734DC"/>
    <w:rsid w:val="00675384"/>
    <w:rsid w:val="006835A9"/>
    <w:rsid w:val="00693CB5"/>
    <w:rsid w:val="006C09FB"/>
    <w:rsid w:val="006D00BD"/>
    <w:rsid w:val="006D3CEC"/>
    <w:rsid w:val="006D5E62"/>
    <w:rsid w:val="0070428B"/>
    <w:rsid w:val="007254B5"/>
    <w:rsid w:val="00753CD1"/>
    <w:rsid w:val="00786EDE"/>
    <w:rsid w:val="007875CD"/>
    <w:rsid w:val="007C1EE1"/>
    <w:rsid w:val="007D12CA"/>
    <w:rsid w:val="007D630F"/>
    <w:rsid w:val="007E6E47"/>
    <w:rsid w:val="0083404A"/>
    <w:rsid w:val="00842B41"/>
    <w:rsid w:val="00856599"/>
    <w:rsid w:val="00875BBD"/>
    <w:rsid w:val="00882A3F"/>
    <w:rsid w:val="00897D36"/>
    <w:rsid w:val="008C785B"/>
    <w:rsid w:val="008D2F65"/>
    <w:rsid w:val="008D5377"/>
    <w:rsid w:val="008D6343"/>
    <w:rsid w:val="00900A5B"/>
    <w:rsid w:val="0091028A"/>
    <w:rsid w:val="0093613E"/>
    <w:rsid w:val="00945C9A"/>
    <w:rsid w:val="00975ECA"/>
    <w:rsid w:val="00981E93"/>
    <w:rsid w:val="009A29A7"/>
    <w:rsid w:val="009C7CE7"/>
    <w:rsid w:val="009D1883"/>
    <w:rsid w:val="009D21BB"/>
    <w:rsid w:val="00A30621"/>
    <w:rsid w:val="00A63D7F"/>
    <w:rsid w:val="00A7381A"/>
    <w:rsid w:val="00AB6095"/>
    <w:rsid w:val="00AC569D"/>
    <w:rsid w:val="00AF29F9"/>
    <w:rsid w:val="00B01341"/>
    <w:rsid w:val="00B15376"/>
    <w:rsid w:val="00B353E5"/>
    <w:rsid w:val="00B51C96"/>
    <w:rsid w:val="00B7406B"/>
    <w:rsid w:val="00B74619"/>
    <w:rsid w:val="00B82CED"/>
    <w:rsid w:val="00BD78FB"/>
    <w:rsid w:val="00BF2809"/>
    <w:rsid w:val="00C258E8"/>
    <w:rsid w:val="00C41533"/>
    <w:rsid w:val="00C56465"/>
    <w:rsid w:val="00C743A3"/>
    <w:rsid w:val="00C97E7F"/>
    <w:rsid w:val="00D24639"/>
    <w:rsid w:val="00D32CC0"/>
    <w:rsid w:val="00DA002C"/>
    <w:rsid w:val="00DD194E"/>
    <w:rsid w:val="00E4494E"/>
    <w:rsid w:val="00E45A9C"/>
    <w:rsid w:val="00E50D02"/>
    <w:rsid w:val="00E74639"/>
    <w:rsid w:val="00E9506E"/>
    <w:rsid w:val="00E9659A"/>
    <w:rsid w:val="00EB7745"/>
    <w:rsid w:val="00ED1B47"/>
    <w:rsid w:val="00F0109D"/>
    <w:rsid w:val="00F16E4B"/>
    <w:rsid w:val="00F32DB5"/>
    <w:rsid w:val="00F45B42"/>
    <w:rsid w:val="00F75185"/>
    <w:rsid w:val="00FA1409"/>
    <w:rsid w:val="00FF1217"/>
    <w:rsid w:val="00FF61CA"/>
    <w:rsid w:val="070447B7"/>
    <w:rsid w:val="09E67744"/>
    <w:rsid w:val="0CCD460E"/>
    <w:rsid w:val="1444244B"/>
    <w:rsid w:val="14EA645D"/>
    <w:rsid w:val="19181A3A"/>
    <w:rsid w:val="19AF2D16"/>
    <w:rsid w:val="1FF735B9"/>
    <w:rsid w:val="225D796E"/>
    <w:rsid w:val="24EC6623"/>
    <w:rsid w:val="2BBD3669"/>
    <w:rsid w:val="2E16582B"/>
    <w:rsid w:val="2E4116FA"/>
    <w:rsid w:val="31262BAF"/>
    <w:rsid w:val="330F093A"/>
    <w:rsid w:val="34E37CA8"/>
    <w:rsid w:val="359E47FF"/>
    <w:rsid w:val="35B72FCB"/>
    <w:rsid w:val="35DA3E68"/>
    <w:rsid w:val="379A3E49"/>
    <w:rsid w:val="391E61C3"/>
    <w:rsid w:val="416D2207"/>
    <w:rsid w:val="43EC12FF"/>
    <w:rsid w:val="44E509D4"/>
    <w:rsid w:val="4B0853C3"/>
    <w:rsid w:val="4DC0511E"/>
    <w:rsid w:val="4FAC5BC3"/>
    <w:rsid w:val="4FC61FF0"/>
    <w:rsid w:val="50846203"/>
    <w:rsid w:val="538763B9"/>
    <w:rsid w:val="55DC546E"/>
    <w:rsid w:val="579C3951"/>
    <w:rsid w:val="596D6B7C"/>
    <w:rsid w:val="59DE3467"/>
    <w:rsid w:val="5CEC747F"/>
    <w:rsid w:val="66202ABE"/>
    <w:rsid w:val="66441755"/>
    <w:rsid w:val="66CF713B"/>
    <w:rsid w:val="68961ACE"/>
    <w:rsid w:val="6D9745DB"/>
    <w:rsid w:val="726141AB"/>
    <w:rsid w:val="7406451D"/>
    <w:rsid w:val="756061F7"/>
    <w:rsid w:val="756A3232"/>
    <w:rsid w:val="77DF544D"/>
    <w:rsid w:val="783458C3"/>
    <w:rsid w:val="7A1E0C67"/>
    <w:rsid w:val="7B044DE1"/>
    <w:rsid w:val="7C250D4F"/>
    <w:rsid w:val="7DD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600" w:lineRule="exact"/>
      <w:jc w:val="center"/>
      <w:outlineLvl w:val="0"/>
    </w:pPr>
    <w:rPr>
      <w:rFonts w:ascii="Calibri" w:hAnsi="Calibri"/>
      <w:kern w:val="44"/>
      <w:sz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rPr>
  </w:style>
  <w:style w:type="paragraph" w:styleId="5">
    <w:name w:val="annotation text"/>
    <w:basedOn w:val="1"/>
    <w:link w:val="17"/>
    <w:qFormat/>
    <w:uiPriority w:val="0"/>
    <w:pPr>
      <w:jc w:val="left"/>
    </w:pPr>
    <w:rPr>
      <w:rFonts w:ascii="Calibri" w:hAnsi="Calibri"/>
    </w:rPr>
  </w:style>
  <w:style w:type="paragraph" w:styleId="6">
    <w:name w:val="Body Text Indent"/>
    <w:basedOn w:val="1"/>
    <w:unhideWhenUsed/>
    <w:qFormat/>
    <w:uiPriority w:val="0"/>
    <w:pPr>
      <w:spacing w:after="120"/>
      <w:ind w:left="420" w:leftChars="200"/>
    </w:pPr>
  </w:style>
  <w:style w:type="paragraph" w:styleId="7">
    <w:name w:val="Balloon Text"/>
    <w:basedOn w:val="1"/>
    <w:link w:val="18"/>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240" w:after="60"/>
      <w:jc w:val="center"/>
      <w:outlineLvl w:val="0"/>
    </w:pPr>
    <w:rPr>
      <w:rFonts w:ascii="Cambria" w:hAnsi="Cambria"/>
      <w:b/>
      <w:bCs/>
      <w:kern w:val="0"/>
      <w:sz w:val="32"/>
      <w:szCs w:val="32"/>
    </w:rPr>
  </w:style>
  <w:style w:type="paragraph" w:styleId="11">
    <w:name w:val="Body Text First Indent 2"/>
    <w:basedOn w:val="6"/>
    <w:qFormat/>
    <w:uiPriority w:val="99"/>
    <w:pPr>
      <w:adjustRightInd w:val="0"/>
      <w:spacing w:after="0" w:line="312" w:lineRule="atLeast"/>
      <w:ind w:left="1296" w:leftChars="0"/>
      <w:textAlignment w:val="baseline"/>
    </w:pPr>
    <w:rPr>
      <w:rFonts w:eastAsia="仿宋_GB2312"/>
      <w:kern w:val="21"/>
      <w:sz w:val="32"/>
    </w:rPr>
  </w:style>
  <w:style w:type="paragraph" w:customStyle="1" w:styleId="14">
    <w:name w:val="列出段落11"/>
    <w:basedOn w:val="1"/>
    <w:qFormat/>
    <w:uiPriority w:val="99"/>
    <w:pPr>
      <w:ind w:firstLine="420" w:firstLineChars="200"/>
    </w:pPr>
  </w:style>
  <w:style w:type="paragraph" w:customStyle="1" w:styleId="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列出段落1"/>
    <w:basedOn w:val="1"/>
    <w:qFormat/>
    <w:uiPriority w:val="34"/>
    <w:pPr>
      <w:ind w:firstLine="420" w:firstLineChars="200"/>
    </w:pPr>
  </w:style>
  <w:style w:type="character" w:customStyle="1" w:styleId="17">
    <w:name w:val="批注文字 Char"/>
    <w:basedOn w:val="13"/>
    <w:link w:val="5"/>
    <w:qFormat/>
    <w:uiPriority w:val="0"/>
    <w:rPr>
      <w:rFonts w:cs="Times New Roman"/>
      <w:kern w:val="2"/>
      <w:sz w:val="21"/>
    </w:rPr>
  </w:style>
  <w:style w:type="character" w:customStyle="1" w:styleId="18">
    <w:name w:val="批注框文本 Char"/>
    <w:basedOn w:val="13"/>
    <w:link w:val="7"/>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1211</Words>
  <Characters>6909</Characters>
  <Lines>57</Lines>
  <Paragraphs>16</Paragraphs>
  <TotalTime>5</TotalTime>
  <ScaleCrop>false</ScaleCrop>
  <LinksUpToDate>false</LinksUpToDate>
  <CharactersWithSpaces>8104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2023-03-29T02:45:00Z</dcterms:created>
  <dc:creator>Administrator</dc:creator>
  <cp:lastModifiedBy>邵蕾✨</cp:lastModifiedBy>
  <cp:lastPrinted>2023-05-24T00:45:00Z</cp:lastPrinted>
  <dcterms:modified xsi:type="dcterms:W3CDTF">2023-07-25T08:43:42Z</dcterms:modified>
  <dc:title>镇江海纳川物流产业发展有限责任公司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E617128971214F11A0A6819B265D0306</vt:lpwstr>
  </property>
</Properties>
</file>