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3"/>
        <w:tabs>
          <w:tab w:val="right" w:leader="dot" w:pos="8674"/>
        </w:tabs>
        <w:spacing w:line="360" w:lineRule="auto"/>
        <w:jc w:val="center"/>
        <w:rPr>
          <w:rFonts w:ascii="宋体" w:cs="宋体"/>
          <w:color w:val="auto"/>
          <w:spacing w:val="-6"/>
          <w:sz w:val="48"/>
          <w:szCs w:val="48"/>
          <w:highlight w:val="none"/>
        </w:rPr>
      </w:pPr>
      <w:r>
        <w:rPr>
          <w:rFonts w:ascii="宋体" w:hAnsi="宋体" w:cs="宋体"/>
          <w:color w:val="auto"/>
          <w:spacing w:val="-6"/>
          <w:sz w:val="48"/>
          <w:szCs w:val="48"/>
          <w:highlight w:val="none"/>
        </w:rPr>
        <w:t xml:space="preserve">      </w:t>
      </w:r>
    </w:p>
    <w:p>
      <w:pPr>
        <w:pStyle w:val="13"/>
        <w:tabs>
          <w:tab w:val="right" w:leader="dot" w:pos="8674"/>
        </w:tabs>
        <w:spacing w:line="360" w:lineRule="auto"/>
        <w:jc w:val="center"/>
        <w:rPr>
          <w:rFonts w:ascii="宋体" w:cs="宋体"/>
          <w:color w:val="auto"/>
          <w:spacing w:val="-6"/>
          <w:sz w:val="48"/>
          <w:szCs w:val="48"/>
          <w:highlight w:val="none"/>
        </w:rPr>
      </w:pPr>
    </w:p>
    <w:p>
      <w:pPr>
        <w:pStyle w:val="13"/>
        <w:tabs>
          <w:tab w:val="right" w:leader="dot" w:pos="8674"/>
        </w:tabs>
        <w:spacing w:line="360" w:lineRule="auto"/>
        <w:jc w:val="center"/>
        <w:outlineLvl w:val="0"/>
        <w:rPr>
          <w:rFonts w:ascii="宋体" w:cs="宋体"/>
          <w:color w:val="auto"/>
          <w:spacing w:val="-6"/>
          <w:sz w:val="48"/>
          <w:szCs w:val="48"/>
          <w:highlight w:val="none"/>
        </w:rPr>
      </w:pPr>
      <w:bookmarkStart w:id="0" w:name="_Toc22022"/>
      <w:bookmarkStart w:id="1" w:name="_Toc21114"/>
      <w:r>
        <w:rPr>
          <w:rFonts w:hint="eastAsia" w:ascii="宋体" w:hAnsi="宋体" w:cs="宋体"/>
          <w:color w:val="auto"/>
          <w:spacing w:val="-6"/>
          <w:sz w:val="48"/>
          <w:szCs w:val="48"/>
          <w:highlight w:val="none"/>
        </w:rPr>
        <w:t>江苏索普新材料科技有限公司</w:t>
      </w:r>
      <w:bookmarkEnd w:id="0"/>
      <w:bookmarkEnd w:id="1"/>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pStyle w:val="12"/>
        <w:pBdr>
          <w:top w:val="none" w:color="auto" w:sz="0" w:space="0"/>
          <w:left w:val="none" w:color="auto" w:sz="0" w:space="0"/>
          <w:bottom w:val="none" w:color="auto" w:sz="0" w:space="0"/>
          <w:right w:val="none" w:color="auto" w:sz="0" w:space="0"/>
        </w:pBdr>
        <w:jc w:val="center"/>
        <w:outlineLvl w:val="0"/>
        <w:rPr>
          <w:rFonts w:ascii="黑体" w:hAnsi="黑体" w:eastAsia="黑体" w:cs="黑体"/>
          <w:color w:val="auto"/>
          <w:spacing w:val="-6"/>
          <w:sz w:val="52"/>
          <w:szCs w:val="52"/>
          <w:highlight w:val="none"/>
        </w:rPr>
      </w:pPr>
      <w:bookmarkStart w:id="2" w:name="_Toc18004"/>
      <w:bookmarkStart w:id="3" w:name="_Toc3769"/>
      <w:r>
        <w:rPr>
          <w:rFonts w:ascii="黑体" w:hAnsi="黑体" w:eastAsia="黑体" w:cs="黑体"/>
          <w:color w:val="auto"/>
          <w:spacing w:val="-6"/>
          <w:sz w:val="52"/>
          <w:szCs w:val="52"/>
          <w:highlight w:val="none"/>
        </w:rPr>
        <w:t>8</w:t>
      </w:r>
      <w:r>
        <w:rPr>
          <w:rFonts w:hint="eastAsia" w:ascii="黑体" w:hAnsi="黑体" w:eastAsia="黑体" w:cs="黑体"/>
          <w:color w:val="auto"/>
          <w:spacing w:val="-6"/>
          <w:sz w:val="52"/>
          <w:szCs w:val="52"/>
          <w:highlight w:val="none"/>
        </w:rPr>
        <w:t>万吨</w:t>
      </w:r>
      <w:r>
        <w:rPr>
          <w:rFonts w:ascii="黑体" w:hAnsi="黑体" w:eastAsia="黑体" w:cs="黑体"/>
          <w:color w:val="auto"/>
          <w:spacing w:val="-6"/>
          <w:sz w:val="52"/>
          <w:szCs w:val="52"/>
          <w:highlight w:val="none"/>
        </w:rPr>
        <w:t>/</w:t>
      </w:r>
      <w:r>
        <w:rPr>
          <w:rFonts w:hint="eastAsia" w:ascii="黑体" w:hAnsi="黑体" w:eastAsia="黑体" w:cs="黑体"/>
          <w:color w:val="auto"/>
          <w:spacing w:val="-6"/>
          <w:sz w:val="52"/>
          <w:szCs w:val="52"/>
          <w:highlight w:val="none"/>
        </w:rPr>
        <w:t>年次氯酸钠项目</w:t>
      </w:r>
      <w:bookmarkEnd w:id="2"/>
      <w:bookmarkEnd w:id="3"/>
    </w:p>
    <w:p>
      <w:pPr>
        <w:pStyle w:val="12"/>
        <w:pBdr>
          <w:top w:val="none" w:color="auto" w:sz="0" w:space="0"/>
          <w:left w:val="none" w:color="auto" w:sz="0" w:space="0"/>
          <w:bottom w:val="none" w:color="auto" w:sz="0" w:space="0"/>
          <w:right w:val="none" w:color="auto" w:sz="0" w:space="0"/>
        </w:pBdr>
        <w:jc w:val="center"/>
        <w:rPr>
          <w:rFonts w:ascii="黑体" w:hAnsi="黑体" w:eastAsia="黑体" w:cs="黑体"/>
          <w:color w:val="auto"/>
          <w:spacing w:val="-6"/>
          <w:sz w:val="52"/>
          <w:szCs w:val="52"/>
          <w:highlight w:val="none"/>
        </w:rPr>
      </w:pPr>
    </w:p>
    <w:p>
      <w:pPr>
        <w:rPr>
          <w:color w:val="auto"/>
          <w:highlight w:val="none"/>
        </w:rPr>
      </w:pPr>
    </w:p>
    <w:p>
      <w:pPr>
        <w:jc w:val="center"/>
        <w:rPr>
          <w:rFonts w:ascii="黑体" w:hAnsi="黑体" w:eastAsia="黑体" w:cs="黑体"/>
          <w:color w:val="auto"/>
          <w:spacing w:val="-6"/>
          <w:sz w:val="52"/>
          <w:szCs w:val="52"/>
          <w:highlight w:val="none"/>
        </w:rPr>
      </w:pPr>
    </w:p>
    <w:p>
      <w:pPr>
        <w:rPr>
          <w:rFonts w:ascii="黑体" w:hAnsi="黑体" w:eastAsia="黑体" w:cs="黑体"/>
          <w:color w:val="auto"/>
          <w:spacing w:val="-6"/>
          <w:sz w:val="30"/>
          <w:szCs w:val="30"/>
          <w:highlight w:val="none"/>
        </w:rPr>
      </w:pPr>
    </w:p>
    <w:p>
      <w:pPr>
        <w:pStyle w:val="13"/>
        <w:tabs>
          <w:tab w:val="right" w:leader="dot" w:pos="8674"/>
        </w:tabs>
        <w:jc w:val="center"/>
        <w:rPr>
          <w:rFonts w:ascii="黑体" w:hAnsi="黑体" w:eastAsia="黑体" w:cs="黑体"/>
          <w:color w:val="auto"/>
          <w:spacing w:val="-6"/>
          <w:sz w:val="72"/>
          <w:szCs w:val="72"/>
          <w:highlight w:val="none"/>
        </w:rPr>
      </w:pPr>
      <w:r>
        <w:rPr>
          <w:rFonts w:hint="eastAsia" w:ascii="黑体" w:hAnsi="黑体" w:eastAsia="黑体" w:cs="黑体"/>
          <w:color w:val="auto"/>
          <w:spacing w:val="-6"/>
          <w:sz w:val="72"/>
          <w:szCs w:val="72"/>
          <w:highlight w:val="none"/>
        </w:rPr>
        <w:t>可行性研究报告</w:t>
      </w:r>
    </w:p>
    <w:p>
      <w:pPr>
        <w:pStyle w:val="13"/>
        <w:tabs>
          <w:tab w:val="right" w:leader="dot" w:pos="8674"/>
        </w:tabs>
        <w:jc w:val="center"/>
        <w:rPr>
          <w:rFonts w:ascii="黑体" w:hAnsi="黑体" w:eastAsia="黑体" w:cs="黑体"/>
          <w:color w:val="auto"/>
          <w:spacing w:val="-6"/>
          <w:sz w:val="30"/>
          <w:szCs w:val="30"/>
          <w:highlight w:val="none"/>
        </w:rPr>
      </w:pPr>
    </w:p>
    <w:p>
      <w:pPr>
        <w:pStyle w:val="13"/>
        <w:tabs>
          <w:tab w:val="right" w:leader="dot" w:pos="8674"/>
        </w:tabs>
        <w:jc w:val="center"/>
        <w:rPr>
          <w:rFonts w:ascii="黑体" w:hAnsi="黑体" w:eastAsia="黑体" w:cs="黑体"/>
          <w:color w:val="auto"/>
          <w:spacing w:val="-6"/>
          <w:sz w:val="30"/>
          <w:szCs w:val="30"/>
          <w:highlight w:val="none"/>
        </w:rPr>
      </w:pPr>
    </w:p>
    <w:p>
      <w:pPr>
        <w:rPr>
          <w:color w:val="auto"/>
          <w:highlight w:val="none"/>
        </w:rPr>
      </w:pPr>
    </w:p>
    <w:p>
      <w:pPr>
        <w:pStyle w:val="7"/>
        <w:rPr>
          <w:color w:val="auto"/>
          <w:highlight w:val="none"/>
        </w:rPr>
      </w:pPr>
    </w:p>
    <w:p>
      <w:pPr>
        <w:rPr>
          <w:color w:val="auto"/>
          <w:highlight w:val="none"/>
        </w:rPr>
      </w:pPr>
    </w:p>
    <w:p>
      <w:pPr>
        <w:rPr>
          <w:color w:val="auto"/>
          <w:highlight w:val="none"/>
        </w:rPr>
      </w:pPr>
    </w:p>
    <w:p>
      <w:pPr>
        <w:rPr>
          <w:rFonts w:ascii="黑体" w:hAnsi="黑体" w:eastAsia="黑体" w:cs="黑体"/>
          <w:color w:val="auto"/>
          <w:spacing w:val="-6"/>
          <w:sz w:val="30"/>
          <w:szCs w:val="30"/>
          <w:highlight w:val="none"/>
        </w:rPr>
      </w:pPr>
    </w:p>
    <w:p>
      <w:pPr>
        <w:pStyle w:val="13"/>
        <w:tabs>
          <w:tab w:val="right" w:leader="dot" w:pos="8674"/>
        </w:tabs>
        <w:spacing w:line="360" w:lineRule="auto"/>
        <w:jc w:val="center"/>
        <w:outlineLvl w:val="0"/>
        <w:rPr>
          <w:rFonts w:ascii="宋体" w:cs="宋体"/>
          <w:color w:val="auto"/>
          <w:spacing w:val="-6"/>
          <w:sz w:val="36"/>
          <w:szCs w:val="36"/>
          <w:highlight w:val="none"/>
        </w:rPr>
      </w:pPr>
      <w:bookmarkStart w:id="4" w:name="_Toc16207"/>
      <w:bookmarkStart w:id="5" w:name="_Toc21490"/>
      <w:r>
        <w:rPr>
          <w:rFonts w:hint="eastAsia" w:ascii="宋体" w:hAnsi="宋体" w:cs="宋体"/>
          <w:color w:val="auto"/>
          <w:spacing w:val="-6"/>
          <w:sz w:val="36"/>
          <w:szCs w:val="36"/>
          <w:highlight w:val="none"/>
        </w:rPr>
        <w:t>江苏索普工程科技有限公司</w:t>
      </w:r>
      <w:bookmarkEnd w:id="4"/>
      <w:bookmarkEnd w:id="5"/>
    </w:p>
    <w:p>
      <w:pPr>
        <w:spacing w:line="360" w:lineRule="auto"/>
        <w:jc w:val="center"/>
        <w:rPr>
          <w:rFonts w:ascii="宋体"/>
          <w:bCs/>
          <w:color w:val="auto"/>
          <w:sz w:val="32"/>
          <w:szCs w:val="32"/>
          <w:highlight w:val="none"/>
        </w:rPr>
      </w:pPr>
      <w:r>
        <w:rPr>
          <w:rFonts w:hint="eastAsia" w:ascii="宋体" w:hAnsi="宋体" w:cs="宋体"/>
          <w:color w:val="auto"/>
          <w:spacing w:val="-6"/>
          <w:sz w:val="36"/>
          <w:szCs w:val="36"/>
          <w:highlight w:val="none"/>
        </w:rPr>
        <w:t>二</w:t>
      </w:r>
      <w:r>
        <w:rPr>
          <w:rFonts w:ascii="宋体" w:cs="宋体"/>
          <w:color w:val="auto"/>
          <w:spacing w:val="-6"/>
          <w:sz w:val="36"/>
          <w:szCs w:val="36"/>
          <w:highlight w:val="none"/>
        </w:rPr>
        <w:t>0</w:t>
      </w:r>
      <w:r>
        <w:rPr>
          <w:rFonts w:hint="eastAsia" w:ascii="宋体" w:hAnsi="宋体" w:cs="宋体"/>
          <w:color w:val="auto"/>
          <w:spacing w:val="-6"/>
          <w:sz w:val="36"/>
          <w:szCs w:val="36"/>
          <w:highlight w:val="none"/>
        </w:rPr>
        <w:t>二三年八月</w:t>
      </w:r>
    </w:p>
    <w:p>
      <w:pPr>
        <w:spacing w:line="360" w:lineRule="auto"/>
        <w:jc w:val="center"/>
        <w:rPr>
          <w:rFonts w:ascii="宋体"/>
          <w:bCs/>
          <w:color w:val="auto"/>
          <w:sz w:val="32"/>
          <w:szCs w:val="32"/>
          <w:highlight w:val="none"/>
        </w:rPr>
        <w:sectPr>
          <w:pgSz w:w="11906" w:h="16838"/>
          <w:pgMar w:top="1440" w:right="1800" w:bottom="1440" w:left="1800" w:header="851" w:footer="992" w:gutter="0"/>
          <w:cols w:space="425" w:num="1"/>
          <w:docGrid w:type="lines" w:linePitch="312" w:charSpace="0"/>
        </w:sectPr>
      </w:pPr>
    </w:p>
    <w:p>
      <w:pPr>
        <w:spacing w:line="360" w:lineRule="auto"/>
        <w:jc w:val="center"/>
        <w:rPr>
          <w:rFonts w:ascii="宋体"/>
          <w:bCs/>
          <w:color w:val="auto"/>
          <w:sz w:val="32"/>
          <w:szCs w:val="32"/>
          <w:highlight w:val="none"/>
        </w:rPr>
        <w:sectPr>
          <w:pgSz w:w="11906" w:h="16838"/>
          <w:pgMar w:top="1440" w:right="1800" w:bottom="1440" w:left="1800" w:header="851" w:footer="992" w:gutter="0"/>
          <w:cols w:space="425" w:num="1"/>
          <w:docGrid w:type="lines" w:linePitch="312" w:charSpace="0"/>
        </w:sectPr>
      </w:pPr>
    </w:p>
    <w:p>
      <w:pPr>
        <w:spacing w:line="360" w:lineRule="auto"/>
        <w:jc w:val="center"/>
        <w:rPr>
          <w:rFonts w:ascii="宋体"/>
          <w:bCs/>
          <w:color w:val="auto"/>
          <w:sz w:val="32"/>
          <w:szCs w:val="32"/>
          <w:highlight w:val="none"/>
        </w:rPr>
      </w:pPr>
    </w:p>
    <w:p>
      <w:pPr>
        <w:spacing w:line="360" w:lineRule="auto"/>
        <w:jc w:val="center"/>
        <w:outlineLvl w:val="0"/>
        <w:rPr>
          <w:rFonts w:ascii="宋体"/>
          <w:bCs/>
          <w:color w:val="auto"/>
          <w:sz w:val="32"/>
          <w:szCs w:val="32"/>
          <w:highlight w:val="none"/>
        </w:rPr>
      </w:pPr>
      <w:bookmarkStart w:id="6" w:name="_Toc5385"/>
      <w:bookmarkStart w:id="7" w:name="_Toc12988"/>
      <w:r>
        <w:rPr>
          <w:rFonts w:hint="eastAsia" w:ascii="宋体" w:hAnsi="宋体"/>
          <w:bCs/>
          <w:color w:val="auto"/>
          <w:sz w:val="32"/>
          <w:szCs w:val="32"/>
          <w:highlight w:val="none"/>
        </w:rPr>
        <w:t>编制人员组成</w:t>
      </w:r>
      <w:bookmarkEnd w:id="6"/>
      <w:bookmarkEnd w:id="7"/>
    </w:p>
    <w:p>
      <w:pPr>
        <w:pStyle w:val="7"/>
        <w:rPr>
          <w:rFonts w:ascii="宋体"/>
          <w:color w:val="auto"/>
          <w:sz w:val="32"/>
          <w:szCs w:val="32"/>
          <w:highlight w:val="none"/>
        </w:rPr>
      </w:pPr>
    </w:p>
    <w:tbl>
      <w:tblPr>
        <w:tblStyle w:val="16"/>
        <w:tblW w:w="8522"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702"/>
        <w:gridCol w:w="1829"/>
        <w:gridCol w:w="1981"/>
        <w:gridCol w:w="3010"/>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tcBorders>
              <w:top w:val="single" w:color="auto" w:sz="4" w:space="0"/>
            </w:tcBorders>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人员</w:t>
            </w:r>
          </w:p>
        </w:tc>
        <w:tc>
          <w:tcPr>
            <w:tcW w:w="1829" w:type="dxa"/>
            <w:tcBorders>
              <w:top w:val="single" w:color="auto" w:sz="4" w:space="0"/>
            </w:tcBorders>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姓名</w:t>
            </w:r>
          </w:p>
        </w:tc>
        <w:tc>
          <w:tcPr>
            <w:tcW w:w="1981" w:type="dxa"/>
            <w:tcBorders>
              <w:top w:val="single" w:color="auto" w:sz="4" w:space="0"/>
            </w:tcBorders>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专业</w:t>
            </w:r>
          </w:p>
        </w:tc>
        <w:tc>
          <w:tcPr>
            <w:tcW w:w="3010" w:type="dxa"/>
            <w:tcBorders>
              <w:top w:val="single" w:color="auto" w:sz="4" w:space="0"/>
            </w:tcBorders>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职称</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tcBorders>
              <w:bottom w:val="single" w:color="auto" w:sz="4" w:space="0"/>
            </w:tcBorders>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项目负责人</w:t>
            </w:r>
          </w:p>
        </w:tc>
        <w:tc>
          <w:tcPr>
            <w:tcW w:w="1829"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蔡成仪</w:t>
            </w:r>
          </w:p>
        </w:tc>
        <w:tc>
          <w:tcPr>
            <w:tcW w:w="1981"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工艺</w:t>
            </w:r>
          </w:p>
        </w:tc>
        <w:tc>
          <w:tcPr>
            <w:tcW w:w="3010"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高级工程师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vMerge w:val="restart"/>
            <w:vAlign w:val="center"/>
          </w:tcPr>
          <w:p>
            <w:pPr>
              <w:widowControl/>
              <w:jc w:val="center"/>
              <w:rPr>
                <w:rFonts w:ascii="宋体" w:cs="宋体"/>
                <w:color w:val="auto"/>
                <w:sz w:val="24"/>
                <w:szCs w:val="24"/>
                <w:highlight w:val="none"/>
              </w:rPr>
            </w:pPr>
            <w:r>
              <w:rPr>
                <w:rFonts w:hint="eastAsia" w:ascii="宋体" w:hAnsi="宋体" w:cs="宋体"/>
                <w:color w:val="auto"/>
                <w:sz w:val="24"/>
                <w:szCs w:val="24"/>
                <w:highlight w:val="none"/>
              </w:rPr>
              <w:t>编制人员</w:t>
            </w:r>
          </w:p>
        </w:tc>
        <w:tc>
          <w:tcPr>
            <w:tcW w:w="1829"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姚辉</w:t>
            </w:r>
          </w:p>
        </w:tc>
        <w:tc>
          <w:tcPr>
            <w:tcW w:w="1981"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工艺</w:t>
            </w:r>
          </w:p>
        </w:tc>
        <w:tc>
          <w:tcPr>
            <w:tcW w:w="3010"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注册咨询工程师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vMerge w:val="continue"/>
            <w:vAlign w:val="center"/>
          </w:tcPr>
          <w:p>
            <w:pPr>
              <w:jc w:val="center"/>
              <w:rPr>
                <w:rFonts w:ascii="宋体" w:cs="宋体"/>
                <w:color w:val="auto"/>
                <w:sz w:val="24"/>
                <w:szCs w:val="24"/>
                <w:highlight w:val="none"/>
              </w:rPr>
            </w:pPr>
          </w:p>
        </w:tc>
        <w:tc>
          <w:tcPr>
            <w:tcW w:w="1829"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张桂丽</w:t>
            </w:r>
          </w:p>
        </w:tc>
        <w:tc>
          <w:tcPr>
            <w:tcW w:w="1981"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设备</w:t>
            </w:r>
          </w:p>
        </w:tc>
        <w:tc>
          <w:tcPr>
            <w:tcW w:w="3010"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高级工程师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vMerge w:val="continue"/>
            <w:vAlign w:val="center"/>
          </w:tcPr>
          <w:p>
            <w:pPr>
              <w:jc w:val="center"/>
              <w:rPr>
                <w:rFonts w:ascii="宋体" w:cs="宋体"/>
                <w:color w:val="auto"/>
                <w:sz w:val="24"/>
                <w:szCs w:val="24"/>
                <w:highlight w:val="none"/>
              </w:rPr>
            </w:pPr>
          </w:p>
        </w:tc>
        <w:tc>
          <w:tcPr>
            <w:tcW w:w="1829"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邓小玲</w:t>
            </w:r>
          </w:p>
        </w:tc>
        <w:tc>
          <w:tcPr>
            <w:tcW w:w="1981"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总图</w:t>
            </w:r>
          </w:p>
        </w:tc>
        <w:tc>
          <w:tcPr>
            <w:tcW w:w="3010"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高级工程师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vMerge w:val="continue"/>
            <w:vAlign w:val="center"/>
          </w:tcPr>
          <w:p>
            <w:pPr>
              <w:jc w:val="center"/>
              <w:rPr>
                <w:rFonts w:ascii="宋体" w:cs="宋体"/>
                <w:color w:val="auto"/>
                <w:sz w:val="24"/>
                <w:szCs w:val="24"/>
                <w:highlight w:val="none"/>
              </w:rPr>
            </w:pPr>
          </w:p>
        </w:tc>
        <w:tc>
          <w:tcPr>
            <w:tcW w:w="1829"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龚骏巍</w:t>
            </w:r>
          </w:p>
        </w:tc>
        <w:tc>
          <w:tcPr>
            <w:tcW w:w="1981"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自控</w:t>
            </w:r>
          </w:p>
        </w:tc>
        <w:tc>
          <w:tcPr>
            <w:tcW w:w="3010" w:type="dxa"/>
            <w:vAlign w:val="center"/>
          </w:tcPr>
          <w:p>
            <w:pPr>
              <w:jc w:val="center"/>
              <w:rPr>
                <w:rFonts w:ascii="宋体" w:cs="宋体"/>
                <w:color w:val="auto"/>
                <w:highlight w:val="none"/>
              </w:rPr>
            </w:pPr>
            <w:r>
              <w:rPr>
                <w:rFonts w:hint="eastAsia" w:ascii="宋体" w:hAnsi="宋体" w:cs="宋体"/>
                <w:color w:val="auto"/>
                <w:sz w:val="24"/>
                <w:szCs w:val="24"/>
                <w:highlight w:val="none"/>
              </w:rPr>
              <w:t>高级工程师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vMerge w:val="continue"/>
            <w:vAlign w:val="center"/>
          </w:tcPr>
          <w:p>
            <w:pPr>
              <w:jc w:val="center"/>
              <w:rPr>
                <w:rFonts w:ascii="宋体" w:cs="宋体"/>
                <w:color w:val="auto"/>
                <w:sz w:val="24"/>
                <w:szCs w:val="24"/>
                <w:highlight w:val="none"/>
              </w:rPr>
            </w:pPr>
          </w:p>
        </w:tc>
        <w:tc>
          <w:tcPr>
            <w:tcW w:w="1829"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史杭俊</w:t>
            </w:r>
          </w:p>
        </w:tc>
        <w:tc>
          <w:tcPr>
            <w:tcW w:w="1981"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给排水、消防</w:t>
            </w:r>
          </w:p>
        </w:tc>
        <w:tc>
          <w:tcPr>
            <w:tcW w:w="3010"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高级工程师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vMerge w:val="continue"/>
            <w:vAlign w:val="center"/>
          </w:tcPr>
          <w:p>
            <w:pPr>
              <w:jc w:val="center"/>
              <w:rPr>
                <w:rFonts w:ascii="宋体" w:cs="宋体"/>
                <w:color w:val="auto"/>
                <w:sz w:val="24"/>
                <w:szCs w:val="24"/>
                <w:highlight w:val="none"/>
              </w:rPr>
            </w:pPr>
          </w:p>
        </w:tc>
        <w:tc>
          <w:tcPr>
            <w:tcW w:w="1829"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金春雷</w:t>
            </w:r>
          </w:p>
        </w:tc>
        <w:tc>
          <w:tcPr>
            <w:tcW w:w="1981"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土建</w:t>
            </w:r>
          </w:p>
        </w:tc>
        <w:tc>
          <w:tcPr>
            <w:tcW w:w="3010"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高级工程师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vMerge w:val="continue"/>
            <w:vAlign w:val="center"/>
          </w:tcPr>
          <w:p>
            <w:pPr>
              <w:jc w:val="center"/>
              <w:rPr>
                <w:rFonts w:ascii="宋体" w:cs="宋体"/>
                <w:color w:val="auto"/>
                <w:sz w:val="24"/>
                <w:szCs w:val="24"/>
                <w:highlight w:val="none"/>
              </w:rPr>
            </w:pPr>
          </w:p>
        </w:tc>
        <w:tc>
          <w:tcPr>
            <w:tcW w:w="1829"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蒋守军</w:t>
            </w:r>
          </w:p>
        </w:tc>
        <w:tc>
          <w:tcPr>
            <w:tcW w:w="1981"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电气</w:t>
            </w:r>
          </w:p>
        </w:tc>
        <w:tc>
          <w:tcPr>
            <w:tcW w:w="3010"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高级工程师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vMerge w:val="continue"/>
            <w:vAlign w:val="center"/>
          </w:tcPr>
          <w:p>
            <w:pPr>
              <w:jc w:val="center"/>
              <w:rPr>
                <w:rFonts w:ascii="宋体" w:cs="宋体"/>
                <w:color w:val="auto"/>
                <w:sz w:val="24"/>
                <w:szCs w:val="24"/>
                <w:highlight w:val="none"/>
              </w:rPr>
            </w:pPr>
          </w:p>
        </w:tc>
        <w:tc>
          <w:tcPr>
            <w:tcW w:w="1829"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杭彧</w:t>
            </w:r>
          </w:p>
        </w:tc>
        <w:tc>
          <w:tcPr>
            <w:tcW w:w="1981"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暖通</w:t>
            </w:r>
          </w:p>
        </w:tc>
        <w:tc>
          <w:tcPr>
            <w:tcW w:w="3010" w:type="dxa"/>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高级工程师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7" w:hRule="exact"/>
          <w:jc w:val="center"/>
        </w:trPr>
        <w:tc>
          <w:tcPr>
            <w:tcW w:w="1702" w:type="dxa"/>
            <w:tcBorders>
              <w:bottom w:val="single" w:color="auto" w:sz="4" w:space="0"/>
            </w:tcBorders>
            <w:vAlign w:val="center"/>
          </w:tcPr>
          <w:p>
            <w:pPr>
              <w:jc w:val="center"/>
              <w:rPr>
                <w:rFonts w:ascii="宋体" w:cs="宋体"/>
                <w:color w:val="auto"/>
                <w:sz w:val="24"/>
                <w:szCs w:val="24"/>
                <w:highlight w:val="none"/>
                <w:shd w:val="pct10" w:color="auto" w:fill="FFFFFF"/>
              </w:rPr>
            </w:pPr>
            <w:r>
              <w:rPr>
                <w:rFonts w:hint="eastAsia" w:ascii="宋体" w:hAnsi="宋体" w:cs="宋体"/>
                <w:color w:val="auto"/>
                <w:sz w:val="24"/>
                <w:szCs w:val="24"/>
                <w:highlight w:val="none"/>
              </w:rPr>
              <w:t>审核人员</w:t>
            </w:r>
          </w:p>
        </w:tc>
        <w:tc>
          <w:tcPr>
            <w:tcW w:w="1829" w:type="dxa"/>
            <w:tcBorders>
              <w:bottom w:val="single" w:color="auto" w:sz="4" w:space="0"/>
            </w:tcBorders>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叶兴平</w:t>
            </w:r>
          </w:p>
        </w:tc>
        <w:tc>
          <w:tcPr>
            <w:tcW w:w="1981" w:type="dxa"/>
            <w:tcBorders>
              <w:bottom w:val="single" w:color="auto" w:sz="4" w:space="0"/>
            </w:tcBorders>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工艺</w:t>
            </w:r>
          </w:p>
        </w:tc>
        <w:tc>
          <w:tcPr>
            <w:tcW w:w="3010" w:type="dxa"/>
            <w:tcBorders>
              <w:bottom w:val="single" w:color="auto" w:sz="4" w:space="0"/>
            </w:tcBorders>
            <w:vAlign w:val="center"/>
          </w:tcPr>
          <w:p>
            <w:pPr>
              <w:jc w:val="center"/>
              <w:rPr>
                <w:rFonts w:ascii="宋体" w:cs="宋体"/>
                <w:color w:val="auto"/>
                <w:sz w:val="24"/>
                <w:szCs w:val="24"/>
                <w:highlight w:val="none"/>
              </w:rPr>
            </w:pPr>
            <w:r>
              <w:rPr>
                <w:rFonts w:hint="eastAsia" w:ascii="宋体" w:hAnsi="宋体" w:cs="宋体"/>
                <w:color w:val="auto"/>
                <w:sz w:val="24"/>
                <w:szCs w:val="24"/>
                <w:highlight w:val="none"/>
              </w:rPr>
              <w:t>高级工程师</w:t>
            </w:r>
          </w:p>
        </w:tc>
      </w:tr>
    </w:tbl>
    <w:p>
      <w:pPr>
        <w:rPr>
          <w:rFonts w:ascii="宋体"/>
          <w:bCs/>
          <w:color w:val="auto"/>
          <w:sz w:val="32"/>
          <w:szCs w:val="32"/>
          <w:highlight w:val="none"/>
        </w:rPr>
      </w:pPr>
    </w:p>
    <w:p>
      <w:pPr>
        <w:pStyle w:val="7"/>
        <w:rPr>
          <w:rFonts w:ascii="宋体"/>
          <w:color w:val="auto"/>
          <w:sz w:val="32"/>
          <w:szCs w:val="32"/>
          <w:highlight w:val="none"/>
        </w:rPr>
      </w:pPr>
    </w:p>
    <w:p>
      <w:pPr>
        <w:rPr>
          <w:color w:val="auto"/>
          <w:highlight w:val="none"/>
        </w:rPr>
      </w:pPr>
    </w:p>
    <w:p>
      <w:pPr>
        <w:spacing w:line="360" w:lineRule="auto"/>
        <w:jc w:val="center"/>
        <w:rPr>
          <w:rFonts w:ascii="宋体"/>
          <w:bCs/>
          <w:color w:val="auto"/>
          <w:sz w:val="24"/>
          <w:highlight w:val="none"/>
        </w:rPr>
      </w:pPr>
    </w:p>
    <w:p>
      <w:pPr>
        <w:rPr>
          <w:color w:val="auto"/>
          <w:highlight w:val="none"/>
        </w:rPr>
        <w:sectPr>
          <w:pgSz w:w="11906" w:h="16838"/>
          <w:pgMar w:top="1440" w:right="1800" w:bottom="1440" w:left="1800" w:header="851" w:footer="992" w:gutter="0"/>
          <w:cols w:space="425" w:num="1"/>
          <w:docGrid w:type="lines" w:linePitch="312" w:charSpace="0"/>
        </w:sectPr>
      </w:pPr>
    </w:p>
    <w:p>
      <w:pPr>
        <w:rPr>
          <w:color w:val="auto"/>
          <w:highlight w:val="none"/>
        </w:rPr>
        <w:sectPr>
          <w:pgSz w:w="11906" w:h="16838"/>
          <w:pgMar w:top="1440" w:right="1800" w:bottom="1440" w:left="1800" w:header="851" w:footer="992" w:gutter="0"/>
          <w:cols w:space="425" w:num="1"/>
          <w:docGrid w:type="lines" w:linePitch="312" w:charSpace="0"/>
        </w:sectPr>
      </w:pPr>
    </w:p>
    <w:p>
      <w:pPr>
        <w:rPr>
          <w:color w:val="auto"/>
          <w:highlight w:val="none"/>
        </w:rPr>
        <w:sectPr>
          <w:pgSz w:w="16838" w:h="11906" w:orient="landscape"/>
          <w:pgMar w:top="1800" w:right="1440" w:bottom="1800" w:left="1440" w:header="851" w:footer="992" w:gutter="0"/>
          <w:cols w:space="425" w:num="1"/>
          <w:docGrid w:type="lines" w:linePitch="312" w:charSpace="0"/>
        </w:sectPr>
      </w:pPr>
      <w:r>
        <w:rPr>
          <w:color w:val="auto"/>
          <w:highlight w:val="none"/>
        </w:rPr>
        <w:drawing>
          <wp:anchor distT="0" distB="0" distL="114300" distR="114300" simplePos="0" relativeHeight="251659264" behindDoc="0" locked="0" layoutInCell="1" allowOverlap="1">
            <wp:simplePos x="0" y="0"/>
            <wp:positionH relativeFrom="column">
              <wp:posOffset>-909320</wp:posOffset>
            </wp:positionH>
            <wp:positionV relativeFrom="paragraph">
              <wp:posOffset>-121285</wp:posOffset>
            </wp:positionV>
            <wp:extent cx="10670540" cy="5676900"/>
            <wp:effectExtent l="0" t="0" r="0" b="0"/>
            <wp:wrapTopAndBottom/>
            <wp:docPr id="1" name="图片 3" descr="设计资质正本2019.0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设计资质正本2019.03.18"/>
                    <pic:cNvPicPr>
                      <a:picLocks noChangeAspect="1"/>
                    </pic:cNvPicPr>
                  </pic:nvPicPr>
                  <pic:blipFill>
                    <a:blip r:embed="rId10"/>
                    <a:stretch>
                      <a:fillRect/>
                    </a:stretch>
                  </pic:blipFill>
                  <pic:spPr>
                    <a:xfrm>
                      <a:off x="0" y="0"/>
                      <a:ext cx="10670540" cy="5676900"/>
                    </a:xfrm>
                    <a:prstGeom prst="rect">
                      <a:avLst/>
                    </a:prstGeom>
                    <a:noFill/>
                    <a:ln>
                      <a:noFill/>
                    </a:ln>
                  </pic:spPr>
                </pic:pic>
              </a:graphicData>
            </a:graphic>
          </wp:anchor>
        </w:drawing>
      </w:r>
    </w:p>
    <w:p>
      <w:pPr>
        <w:rPr>
          <w:color w:val="auto"/>
          <w:highlight w:val="none"/>
        </w:rPr>
        <w:sectPr>
          <w:pgSz w:w="11906" w:h="16838"/>
          <w:pgMar w:top="1440" w:right="1800" w:bottom="1440" w:left="1800" w:header="851" w:footer="992" w:gutter="0"/>
          <w:cols w:space="425" w:num="1"/>
          <w:docGrid w:type="lines" w:linePitch="312" w:charSpace="0"/>
        </w:sectPr>
      </w:pPr>
    </w:p>
    <w:p>
      <w:pPr>
        <w:spacing w:line="500" w:lineRule="exact"/>
        <w:jc w:val="center"/>
        <w:rPr>
          <w:b/>
          <w:bCs/>
          <w:color w:val="auto"/>
          <w:sz w:val="36"/>
          <w:szCs w:val="36"/>
          <w:highlight w:val="none"/>
        </w:rPr>
      </w:pPr>
      <w:r>
        <w:rPr>
          <w:rFonts w:hint="eastAsia" w:ascii="宋体" w:hAnsi="宋体"/>
          <w:b/>
          <w:bCs/>
          <w:color w:val="auto"/>
          <w:sz w:val="36"/>
          <w:szCs w:val="36"/>
          <w:highlight w:val="none"/>
        </w:rPr>
        <w:t>目</w:t>
      </w:r>
      <w:r>
        <w:rPr>
          <w:rFonts w:ascii="宋体" w:hAnsi="宋体"/>
          <w:b/>
          <w:bCs/>
          <w:color w:val="auto"/>
          <w:sz w:val="36"/>
          <w:szCs w:val="36"/>
          <w:highlight w:val="none"/>
        </w:rPr>
        <w:t xml:space="preserve"> </w:t>
      </w:r>
      <w:r>
        <w:rPr>
          <w:rFonts w:hint="eastAsia" w:ascii="宋体" w:hAnsi="宋体"/>
          <w:b/>
          <w:bCs/>
          <w:color w:val="auto"/>
          <w:sz w:val="36"/>
          <w:szCs w:val="36"/>
          <w:highlight w:val="none"/>
        </w:rPr>
        <w:t>录</w:t>
      </w:r>
    </w:p>
    <w:p>
      <w:pPr>
        <w:pStyle w:val="48"/>
        <w:tabs>
          <w:tab w:val="right" w:leader="dot" w:pos="8306"/>
        </w:tabs>
        <w:spacing w:line="500" w:lineRule="exact"/>
        <w:rPr>
          <w:b/>
          <w:color w:val="auto"/>
          <w:sz w:val="28"/>
          <w:szCs w:val="28"/>
          <w:highlight w:val="none"/>
        </w:rPr>
      </w:pPr>
      <w:r>
        <w:rPr>
          <w:color w:val="auto"/>
          <w:sz w:val="28"/>
          <w:szCs w:val="28"/>
          <w:highlight w:val="none"/>
        </w:rPr>
        <w:fldChar w:fldCharType="begin"/>
      </w:r>
      <w:r>
        <w:rPr>
          <w:color w:val="auto"/>
          <w:sz w:val="28"/>
          <w:szCs w:val="28"/>
          <w:highlight w:val="none"/>
        </w:rPr>
        <w:instrText xml:space="preserve">TOC \o "1-2" \h \u </w:instrText>
      </w:r>
      <w:r>
        <w:rPr>
          <w:color w:val="auto"/>
          <w:sz w:val="28"/>
          <w:szCs w:val="28"/>
          <w:highlight w:val="none"/>
        </w:rPr>
        <w:fldChar w:fldCharType="separate"/>
      </w:r>
      <w:r>
        <w:rPr>
          <w:color w:val="auto"/>
          <w:highlight w:val="none"/>
        </w:rPr>
        <w:fldChar w:fldCharType="begin"/>
      </w:r>
      <w:r>
        <w:rPr>
          <w:color w:val="auto"/>
          <w:highlight w:val="none"/>
        </w:rPr>
        <w:instrText xml:space="preserve"> HYPERLINK \l "_Toc25506" </w:instrText>
      </w:r>
      <w:r>
        <w:rPr>
          <w:color w:val="auto"/>
          <w:highlight w:val="none"/>
        </w:rPr>
        <w:fldChar w:fldCharType="separate"/>
      </w:r>
      <w:r>
        <w:rPr>
          <w:rFonts w:hint="eastAsia" w:ascii="宋体" w:hAnsi="宋体" w:cs="宋体"/>
          <w:b/>
          <w:color w:val="auto"/>
          <w:sz w:val="28"/>
          <w:szCs w:val="28"/>
          <w:highlight w:val="none"/>
        </w:rPr>
        <w:t>第一章</w:t>
      </w:r>
      <w:r>
        <w:rPr>
          <w:rFonts w:ascii="宋体" w:hAnsi="宋体" w:cs="宋体"/>
          <w:b/>
          <w:color w:val="auto"/>
          <w:sz w:val="28"/>
          <w:szCs w:val="28"/>
          <w:highlight w:val="none"/>
        </w:rPr>
        <w:t xml:space="preserve"> </w:t>
      </w:r>
      <w:r>
        <w:rPr>
          <w:rFonts w:hint="eastAsia" w:ascii="宋体" w:hAnsi="宋体" w:cs="宋体"/>
          <w:b/>
          <w:color w:val="auto"/>
          <w:sz w:val="28"/>
          <w:szCs w:val="28"/>
          <w:highlight w:val="none"/>
        </w:rPr>
        <w:t>总</w:t>
      </w:r>
      <w:r>
        <w:rPr>
          <w:rFonts w:ascii="宋体" w:hAnsi="宋体" w:cs="宋体"/>
          <w:b/>
          <w:color w:val="auto"/>
          <w:sz w:val="28"/>
          <w:szCs w:val="28"/>
          <w:highlight w:val="none"/>
        </w:rPr>
        <w:t xml:space="preserve"> </w:t>
      </w:r>
      <w:r>
        <w:rPr>
          <w:rFonts w:hint="eastAsia" w:ascii="宋体" w:hAnsi="宋体" w:cs="宋体"/>
          <w:b/>
          <w:color w:val="auto"/>
          <w:sz w:val="28"/>
          <w:szCs w:val="28"/>
          <w:highlight w:val="none"/>
        </w:rPr>
        <w:t>论</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_Toc25506 \h </w:instrText>
      </w:r>
      <w:r>
        <w:rPr>
          <w:b/>
          <w:color w:val="auto"/>
          <w:sz w:val="28"/>
          <w:szCs w:val="28"/>
          <w:highlight w:val="none"/>
        </w:rPr>
        <w:fldChar w:fldCharType="separate"/>
      </w:r>
      <w:r>
        <w:rPr>
          <w:b/>
          <w:color w:val="auto"/>
          <w:sz w:val="28"/>
          <w:szCs w:val="28"/>
          <w:highlight w:val="none"/>
        </w:rPr>
        <w:t>1</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"_Toc4905" </w:instrText>
      </w:r>
      <w:r>
        <w:rPr>
          <w:color w:val="auto"/>
          <w:highlight w:val="none"/>
        </w:rPr>
        <w:fldChar w:fldCharType="separate"/>
      </w:r>
      <w:r>
        <w:rPr>
          <w:rFonts w:ascii="宋体" w:hAnsi="宋体" w:cs="宋体"/>
          <w:bCs/>
          <w:color w:val="auto"/>
          <w:sz w:val="28"/>
          <w:szCs w:val="28"/>
          <w:highlight w:val="none"/>
        </w:rPr>
        <w:t xml:space="preserve">1.1 </w:t>
      </w:r>
      <w:r>
        <w:rPr>
          <w:rFonts w:hint="eastAsia" w:ascii="宋体" w:hAnsi="宋体" w:cs="宋体"/>
          <w:bCs/>
          <w:color w:val="auto"/>
          <w:sz w:val="28"/>
          <w:szCs w:val="28"/>
          <w:highlight w:val="none"/>
        </w:rPr>
        <w:t>概述</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_Toc4905 \h </w:instrText>
      </w:r>
      <w:r>
        <w:rPr>
          <w:color w:val="auto"/>
          <w:sz w:val="28"/>
          <w:szCs w:val="28"/>
          <w:highlight w:val="none"/>
        </w:rPr>
        <w:fldChar w:fldCharType="separate"/>
      </w:r>
      <w:r>
        <w:rPr>
          <w:color w:val="auto"/>
          <w:sz w:val="28"/>
          <w:szCs w:val="28"/>
          <w:highlight w:val="none"/>
        </w:rPr>
        <w:t>1</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"_Toc32718" </w:instrText>
      </w:r>
      <w:r>
        <w:rPr>
          <w:color w:val="auto"/>
          <w:highlight w:val="none"/>
        </w:rPr>
        <w:fldChar w:fldCharType="separate"/>
      </w:r>
      <w:r>
        <w:rPr>
          <w:rFonts w:ascii="宋体" w:hAnsi="宋体" w:cs="宋体"/>
          <w:bCs/>
          <w:color w:val="auto"/>
          <w:kern w:val="2"/>
          <w:sz w:val="28"/>
          <w:szCs w:val="28"/>
          <w:highlight w:val="none"/>
        </w:rPr>
        <w:t xml:space="preserve">1.2 </w:t>
      </w:r>
      <w:r>
        <w:rPr>
          <w:rFonts w:hint="eastAsia" w:ascii="宋体" w:hAnsi="宋体" w:cs="宋体"/>
          <w:bCs/>
          <w:color w:val="auto"/>
          <w:kern w:val="2"/>
          <w:sz w:val="28"/>
          <w:szCs w:val="28"/>
          <w:highlight w:val="none"/>
        </w:rPr>
        <w:t>项目研究的范围</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_Toc32718 \h </w:instrText>
      </w:r>
      <w:r>
        <w:rPr>
          <w:color w:val="auto"/>
          <w:sz w:val="28"/>
          <w:szCs w:val="28"/>
          <w:highlight w:val="none"/>
        </w:rPr>
        <w:fldChar w:fldCharType="separate"/>
      </w:r>
      <w:r>
        <w:rPr>
          <w:color w:val="auto"/>
          <w:sz w:val="28"/>
          <w:szCs w:val="28"/>
          <w:highlight w:val="none"/>
        </w:rPr>
        <w:t>3</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"_Toc8350" </w:instrText>
      </w:r>
      <w:r>
        <w:rPr>
          <w:color w:val="auto"/>
          <w:highlight w:val="none"/>
        </w:rPr>
        <w:fldChar w:fldCharType="separate"/>
      </w:r>
      <w:r>
        <w:rPr>
          <w:rFonts w:ascii="宋体" w:hAnsi="宋体" w:cs="宋体"/>
          <w:bCs/>
          <w:color w:val="auto"/>
          <w:sz w:val="28"/>
          <w:szCs w:val="28"/>
          <w:highlight w:val="none"/>
        </w:rPr>
        <w:t xml:space="preserve">1.3 </w:t>
      </w:r>
      <w:r>
        <w:rPr>
          <w:rFonts w:hint="eastAsia" w:ascii="宋体" w:hAnsi="宋体" w:cs="宋体"/>
          <w:bCs/>
          <w:color w:val="auto"/>
          <w:sz w:val="28"/>
          <w:szCs w:val="28"/>
          <w:highlight w:val="none"/>
        </w:rPr>
        <w:t>主要经济技术指标</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_Toc8350 \h </w:instrText>
      </w:r>
      <w:r>
        <w:rPr>
          <w:color w:val="auto"/>
          <w:sz w:val="28"/>
          <w:szCs w:val="28"/>
          <w:highlight w:val="none"/>
        </w:rPr>
        <w:fldChar w:fldCharType="separate"/>
      </w:r>
      <w:r>
        <w:rPr>
          <w:color w:val="auto"/>
          <w:sz w:val="28"/>
          <w:szCs w:val="28"/>
          <w:highlight w:val="none"/>
        </w:rPr>
        <w:t>3</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"_Toc16550" </w:instrText>
      </w:r>
      <w:r>
        <w:rPr>
          <w:color w:val="auto"/>
          <w:highlight w:val="none"/>
        </w:rPr>
        <w:fldChar w:fldCharType="separate"/>
      </w:r>
      <w:r>
        <w:rPr>
          <w:rFonts w:ascii="宋体" w:hAnsi="宋体" w:cs="宋体"/>
          <w:bCs/>
          <w:color w:val="auto"/>
          <w:sz w:val="28"/>
          <w:szCs w:val="28"/>
          <w:highlight w:val="none"/>
        </w:rPr>
        <w:t xml:space="preserve">1.4 </w:t>
      </w:r>
      <w:r>
        <w:rPr>
          <w:rFonts w:hint="eastAsia" w:ascii="宋体" w:hAnsi="宋体" w:cs="宋体"/>
          <w:bCs/>
          <w:color w:val="auto"/>
          <w:sz w:val="28"/>
          <w:szCs w:val="28"/>
          <w:highlight w:val="none"/>
        </w:rPr>
        <w:t>研究结论</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_Toc16550 \h </w:instrText>
      </w:r>
      <w:r>
        <w:rPr>
          <w:color w:val="auto"/>
          <w:sz w:val="28"/>
          <w:szCs w:val="28"/>
          <w:highlight w:val="none"/>
        </w:rPr>
        <w:fldChar w:fldCharType="separate"/>
      </w:r>
      <w:r>
        <w:rPr>
          <w:color w:val="auto"/>
          <w:sz w:val="28"/>
          <w:szCs w:val="28"/>
          <w:highlight w:val="none"/>
        </w:rPr>
        <w:t>5</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"_Toc29978" </w:instrText>
      </w:r>
      <w:r>
        <w:rPr>
          <w:color w:val="auto"/>
          <w:highlight w:val="none"/>
        </w:rPr>
        <w:fldChar w:fldCharType="separate"/>
      </w:r>
      <w:r>
        <w:rPr>
          <w:rFonts w:hint="eastAsia" w:ascii="宋体" w:hAnsi="宋体" w:cs="宋体"/>
          <w:b/>
          <w:color w:val="auto"/>
          <w:sz w:val="28"/>
          <w:szCs w:val="28"/>
          <w:highlight w:val="none"/>
          <w:lang w:val="zh-CN"/>
        </w:rPr>
        <w:t>第二章</w:t>
      </w:r>
      <w:r>
        <w:rPr>
          <w:rFonts w:ascii="宋体" w:hAnsi="宋体" w:cs="宋体"/>
          <w:b/>
          <w:color w:val="auto"/>
          <w:sz w:val="28"/>
          <w:szCs w:val="28"/>
          <w:highlight w:val="none"/>
          <w:lang w:val="zh-CN"/>
        </w:rPr>
        <w:t xml:space="preserve"> </w:t>
      </w:r>
      <w:r>
        <w:rPr>
          <w:rFonts w:hint="eastAsia" w:ascii="宋体" w:hAnsi="宋体" w:cs="宋体"/>
          <w:b/>
          <w:color w:val="auto"/>
          <w:sz w:val="28"/>
          <w:szCs w:val="28"/>
          <w:highlight w:val="none"/>
          <w:lang w:val="zh-CN"/>
        </w:rPr>
        <w:t>市场预测分析</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_Toc29978 \h </w:instrText>
      </w:r>
      <w:r>
        <w:rPr>
          <w:b/>
          <w:color w:val="auto"/>
          <w:sz w:val="28"/>
          <w:szCs w:val="28"/>
          <w:highlight w:val="none"/>
        </w:rPr>
        <w:fldChar w:fldCharType="separate"/>
      </w:r>
      <w:r>
        <w:rPr>
          <w:b/>
          <w:color w:val="auto"/>
          <w:sz w:val="28"/>
          <w:szCs w:val="28"/>
          <w:highlight w:val="none"/>
        </w:rPr>
        <w:t>7</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"_Toc1605" </w:instrText>
      </w:r>
      <w:r>
        <w:rPr>
          <w:color w:val="auto"/>
          <w:highlight w:val="none"/>
        </w:rPr>
        <w:fldChar w:fldCharType="separate"/>
      </w:r>
      <w:r>
        <w:rPr>
          <w:rFonts w:ascii="宋体" w:hAnsi="宋体" w:cs="宋体"/>
          <w:color w:val="auto"/>
          <w:sz w:val="28"/>
          <w:szCs w:val="28"/>
          <w:highlight w:val="none"/>
          <w:lang w:val="zh-CN"/>
        </w:rPr>
        <w:t xml:space="preserve">2.1 </w:t>
      </w:r>
      <w:r>
        <w:rPr>
          <w:rFonts w:hint="eastAsia" w:ascii="宋体" w:hAnsi="宋体" w:cs="宋体"/>
          <w:color w:val="auto"/>
          <w:sz w:val="28"/>
          <w:szCs w:val="28"/>
          <w:highlight w:val="none"/>
          <w:lang w:val="zh-CN"/>
        </w:rPr>
        <w:t>产品概述</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_Toc1605 \h </w:instrText>
      </w:r>
      <w:r>
        <w:rPr>
          <w:color w:val="auto"/>
          <w:sz w:val="28"/>
          <w:szCs w:val="28"/>
          <w:highlight w:val="none"/>
        </w:rPr>
        <w:fldChar w:fldCharType="separate"/>
      </w:r>
      <w:r>
        <w:rPr>
          <w:color w:val="auto"/>
          <w:sz w:val="28"/>
          <w:szCs w:val="28"/>
          <w:highlight w:val="none"/>
        </w:rPr>
        <w:t>7</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"_Toc3274" </w:instrText>
      </w:r>
      <w:r>
        <w:rPr>
          <w:color w:val="auto"/>
          <w:highlight w:val="none"/>
        </w:rPr>
        <w:fldChar w:fldCharType="separate"/>
      </w:r>
      <w:r>
        <w:rPr>
          <w:rFonts w:ascii="宋体" w:hAnsi="宋体" w:cs="宋体"/>
          <w:color w:val="auto"/>
          <w:sz w:val="28"/>
          <w:szCs w:val="28"/>
          <w:highlight w:val="none"/>
          <w:lang w:val="zh-CN"/>
        </w:rPr>
        <w:t xml:space="preserve">2.2 </w:t>
      </w:r>
      <w:r>
        <w:rPr>
          <w:rFonts w:hint="eastAsia" w:ascii="宋体" w:hAnsi="宋体" w:cs="宋体"/>
          <w:color w:val="auto"/>
          <w:sz w:val="28"/>
          <w:szCs w:val="28"/>
          <w:highlight w:val="none"/>
        </w:rPr>
        <w:t>周边同行产量情况</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_Toc3274 \h </w:instrText>
      </w:r>
      <w:r>
        <w:rPr>
          <w:color w:val="auto"/>
          <w:sz w:val="28"/>
          <w:szCs w:val="28"/>
          <w:highlight w:val="none"/>
        </w:rPr>
        <w:fldChar w:fldCharType="separate"/>
      </w:r>
      <w:r>
        <w:rPr>
          <w:color w:val="auto"/>
          <w:sz w:val="28"/>
          <w:szCs w:val="28"/>
          <w:highlight w:val="none"/>
        </w:rPr>
        <w:t>7</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"_Toc872" </w:instrText>
      </w:r>
      <w:r>
        <w:rPr>
          <w:color w:val="auto"/>
          <w:highlight w:val="none"/>
        </w:rPr>
        <w:fldChar w:fldCharType="separate"/>
      </w:r>
      <w:r>
        <w:rPr>
          <w:rFonts w:ascii="宋体" w:hAnsi="宋体" w:cs="宋体"/>
          <w:color w:val="auto"/>
          <w:kern w:val="2"/>
          <w:sz w:val="28"/>
          <w:szCs w:val="28"/>
          <w:highlight w:val="none"/>
        </w:rPr>
        <w:t>2.3</w:t>
      </w:r>
      <w:r>
        <w:rPr>
          <w:rFonts w:hint="eastAsia" w:ascii="宋体" w:hAnsi="宋体" w:cs="宋体"/>
          <w:color w:val="auto"/>
          <w:kern w:val="2"/>
          <w:sz w:val="28"/>
          <w:szCs w:val="28"/>
          <w:highlight w:val="none"/>
        </w:rPr>
        <w:t>次氯酸钠下游分布</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_Toc872 \h </w:instrText>
      </w:r>
      <w:r>
        <w:rPr>
          <w:color w:val="auto"/>
          <w:sz w:val="28"/>
          <w:szCs w:val="28"/>
          <w:highlight w:val="none"/>
        </w:rPr>
        <w:fldChar w:fldCharType="separate"/>
      </w:r>
      <w:r>
        <w:rPr>
          <w:color w:val="auto"/>
          <w:sz w:val="28"/>
          <w:szCs w:val="28"/>
          <w:highlight w:val="none"/>
        </w:rPr>
        <w:t>8</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"_Toc28449" </w:instrText>
      </w:r>
      <w:r>
        <w:rPr>
          <w:color w:val="auto"/>
          <w:highlight w:val="none"/>
        </w:rPr>
        <w:fldChar w:fldCharType="separate"/>
      </w:r>
      <w:r>
        <w:rPr>
          <w:rFonts w:ascii="宋体" w:hAnsi="宋体" w:cs="宋体"/>
          <w:color w:val="auto"/>
          <w:kern w:val="2"/>
          <w:sz w:val="28"/>
          <w:szCs w:val="28"/>
          <w:highlight w:val="none"/>
        </w:rPr>
        <w:t>2.4</w:t>
      </w:r>
      <w:r>
        <w:rPr>
          <w:rFonts w:hint="eastAsia" w:ascii="宋体" w:hAnsi="宋体" w:cs="宋体"/>
          <w:color w:val="auto"/>
          <w:kern w:val="2"/>
          <w:sz w:val="28"/>
          <w:szCs w:val="28"/>
          <w:highlight w:val="none"/>
        </w:rPr>
        <w:t>次氯酸钠市场行情及价格预测</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_Toc28449 \h </w:instrText>
      </w:r>
      <w:r>
        <w:rPr>
          <w:color w:val="auto"/>
          <w:sz w:val="28"/>
          <w:szCs w:val="28"/>
          <w:highlight w:val="none"/>
        </w:rPr>
        <w:fldChar w:fldCharType="separate"/>
      </w:r>
      <w:r>
        <w:rPr>
          <w:color w:val="auto"/>
          <w:sz w:val="28"/>
          <w:szCs w:val="28"/>
          <w:highlight w:val="none"/>
        </w:rPr>
        <w:t>8</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"_Toc3019" </w:instrText>
      </w:r>
      <w:r>
        <w:rPr>
          <w:color w:val="auto"/>
          <w:highlight w:val="none"/>
        </w:rPr>
        <w:fldChar w:fldCharType="separate"/>
      </w:r>
      <w:r>
        <w:rPr>
          <w:rFonts w:hint="eastAsia" w:ascii="宋体" w:hAnsi="宋体" w:cs="宋体"/>
          <w:b/>
          <w:color w:val="auto"/>
          <w:sz w:val="28"/>
          <w:szCs w:val="28"/>
          <w:highlight w:val="none"/>
          <w:lang w:val="zh-CN"/>
        </w:rPr>
        <w:t>第三章</w:t>
      </w:r>
      <w:r>
        <w:rPr>
          <w:rFonts w:ascii="宋体" w:hAnsi="宋体" w:cs="宋体"/>
          <w:b/>
          <w:color w:val="auto"/>
          <w:sz w:val="28"/>
          <w:szCs w:val="28"/>
          <w:highlight w:val="none"/>
          <w:lang w:val="zh-CN"/>
        </w:rPr>
        <w:t xml:space="preserve"> </w:t>
      </w:r>
      <w:r>
        <w:rPr>
          <w:rFonts w:hint="eastAsia" w:ascii="宋体" w:hAnsi="宋体" w:cs="宋体"/>
          <w:b/>
          <w:color w:val="auto"/>
          <w:sz w:val="28"/>
          <w:szCs w:val="28"/>
          <w:highlight w:val="none"/>
          <w:lang w:val="zh-CN"/>
        </w:rPr>
        <w:t>生产规模和产品方案</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_Toc3019 \h </w:instrText>
      </w:r>
      <w:r>
        <w:rPr>
          <w:b/>
          <w:color w:val="auto"/>
          <w:sz w:val="28"/>
          <w:szCs w:val="28"/>
          <w:highlight w:val="none"/>
        </w:rPr>
        <w:fldChar w:fldCharType="separate"/>
      </w:r>
      <w:r>
        <w:rPr>
          <w:b/>
          <w:color w:val="auto"/>
          <w:sz w:val="28"/>
          <w:szCs w:val="28"/>
          <w:highlight w:val="none"/>
        </w:rPr>
        <w:t>9</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"_Toc10173" </w:instrText>
      </w:r>
      <w:r>
        <w:rPr>
          <w:color w:val="auto"/>
          <w:highlight w:val="none"/>
        </w:rPr>
        <w:fldChar w:fldCharType="separate"/>
      </w:r>
      <w:r>
        <w:rPr>
          <w:rFonts w:ascii="宋体" w:hAnsi="宋体" w:cs="宋体"/>
          <w:color w:val="auto"/>
          <w:kern w:val="2"/>
          <w:sz w:val="28"/>
          <w:szCs w:val="28"/>
          <w:highlight w:val="none"/>
        </w:rPr>
        <w:t>3.1</w:t>
      </w:r>
      <w:r>
        <w:rPr>
          <w:rFonts w:hint="eastAsia" w:ascii="宋体" w:hAnsi="宋体" w:cs="宋体"/>
          <w:color w:val="auto"/>
          <w:kern w:val="2"/>
          <w:sz w:val="28"/>
          <w:szCs w:val="28"/>
          <w:highlight w:val="none"/>
        </w:rPr>
        <w:t>生产规模</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_Toc10173 \h </w:instrText>
      </w:r>
      <w:r>
        <w:rPr>
          <w:color w:val="auto"/>
          <w:sz w:val="28"/>
          <w:szCs w:val="28"/>
          <w:highlight w:val="none"/>
        </w:rPr>
        <w:fldChar w:fldCharType="separate"/>
      </w:r>
      <w:r>
        <w:rPr>
          <w:color w:val="auto"/>
          <w:sz w:val="28"/>
          <w:szCs w:val="28"/>
          <w:highlight w:val="none"/>
        </w:rPr>
        <w:t>9</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"_Toc24305" </w:instrText>
      </w:r>
      <w:r>
        <w:rPr>
          <w:color w:val="auto"/>
          <w:highlight w:val="none"/>
        </w:rPr>
        <w:fldChar w:fldCharType="separate"/>
      </w:r>
      <w:r>
        <w:rPr>
          <w:rFonts w:ascii="宋体" w:hAnsi="宋体" w:cs="宋体"/>
          <w:color w:val="auto"/>
          <w:kern w:val="2"/>
          <w:sz w:val="28"/>
          <w:szCs w:val="28"/>
          <w:highlight w:val="none"/>
        </w:rPr>
        <w:t xml:space="preserve">3.2 </w:t>
      </w:r>
      <w:r>
        <w:rPr>
          <w:rFonts w:hint="eastAsia" w:ascii="宋体" w:hAnsi="宋体" w:cs="宋体"/>
          <w:color w:val="auto"/>
          <w:kern w:val="2"/>
          <w:sz w:val="28"/>
          <w:szCs w:val="28"/>
          <w:highlight w:val="none"/>
        </w:rPr>
        <w:t>生产方案</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_Toc24305 \h </w:instrText>
      </w:r>
      <w:r>
        <w:rPr>
          <w:color w:val="auto"/>
          <w:sz w:val="28"/>
          <w:szCs w:val="28"/>
          <w:highlight w:val="none"/>
        </w:rPr>
        <w:fldChar w:fldCharType="separate"/>
      </w:r>
      <w:r>
        <w:rPr>
          <w:color w:val="auto"/>
          <w:sz w:val="28"/>
          <w:szCs w:val="28"/>
          <w:highlight w:val="none"/>
        </w:rPr>
        <w:t>9</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"_Toc3500" </w:instrText>
      </w:r>
      <w:r>
        <w:rPr>
          <w:color w:val="auto"/>
          <w:highlight w:val="none"/>
        </w:rPr>
        <w:fldChar w:fldCharType="separate"/>
      </w:r>
      <w:r>
        <w:rPr>
          <w:rFonts w:ascii="宋体" w:hAnsi="宋体" w:cs="宋体"/>
          <w:color w:val="auto"/>
          <w:kern w:val="2"/>
          <w:sz w:val="28"/>
          <w:szCs w:val="28"/>
          <w:highlight w:val="none"/>
        </w:rPr>
        <w:t>3.3</w:t>
      </w:r>
      <w:r>
        <w:rPr>
          <w:rFonts w:hint="eastAsia" w:ascii="宋体" w:hAnsi="宋体" w:cs="宋体"/>
          <w:color w:val="auto"/>
          <w:kern w:val="2"/>
          <w:sz w:val="28"/>
          <w:szCs w:val="28"/>
          <w:highlight w:val="none"/>
        </w:rPr>
        <w:t>产品规格及指标标准</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_Toc3500 \h </w:instrText>
      </w:r>
      <w:r>
        <w:rPr>
          <w:color w:val="auto"/>
          <w:sz w:val="28"/>
          <w:szCs w:val="28"/>
          <w:highlight w:val="none"/>
        </w:rPr>
        <w:fldChar w:fldCharType="separate"/>
      </w:r>
      <w:r>
        <w:rPr>
          <w:color w:val="auto"/>
          <w:sz w:val="28"/>
          <w:szCs w:val="28"/>
          <w:highlight w:val="none"/>
        </w:rPr>
        <w:t>9</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"_Toc18906" </w:instrText>
      </w:r>
      <w:r>
        <w:rPr>
          <w:color w:val="auto"/>
          <w:highlight w:val="none"/>
        </w:rPr>
        <w:fldChar w:fldCharType="separate"/>
      </w:r>
      <w:r>
        <w:rPr>
          <w:rFonts w:hint="eastAsia" w:ascii="宋体" w:hAnsi="宋体" w:cs="宋体"/>
          <w:b/>
          <w:color w:val="auto"/>
          <w:sz w:val="28"/>
          <w:szCs w:val="28"/>
          <w:highlight w:val="none"/>
          <w:lang w:val="zh-CN"/>
        </w:rPr>
        <w:t>第四章</w:t>
      </w:r>
      <w:r>
        <w:rPr>
          <w:rFonts w:ascii="宋体" w:hAnsi="宋体" w:cs="宋体"/>
          <w:b/>
          <w:color w:val="auto"/>
          <w:sz w:val="28"/>
          <w:szCs w:val="28"/>
          <w:highlight w:val="none"/>
          <w:lang w:val="zh-CN"/>
        </w:rPr>
        <w:t xml:space="preserve"> </w:t>
      </w:r>
      <w:r>
        <w:rPr>
          <w:rFonts w:hint="eastAsia" w:ascii="宋体" w:hAnsi="宋体" w:cs="宋体"/>
          <w:b/>
          <w:color w:val="auto"/>
          <w:sz w:val="28"/>
          <w:szCs w:val="28"/>
          <w:highlight w:val="none"/>
          <w:lang w:val="zh-CN"/>
        </w:rPr>
        <w:t>工艺技术方案</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_Toc18906 \h </w:instrText>
      </w:r>
      <w:r>
        <w:rPr>
          <w:b/>
          <w:color w:val="auto"/>
          <w:sz w:val="28"/>
          <w:szCs w:val="28"/>
          <w:highlight w:val="none"/>
        </w:rPr>
        <w:fldChar w:fldCharType="separate"/>
      </w:r>
      <w:r>
        <w:rPr>
          <w:b/>
          <w:color w:val="auto"/>
          <w:sz w:val="28"/>
          <w:szCs w:val="28"/>
          <w:highlight w:val="none"/>
        </w:rPr>
        <w:t>10</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"_Toc4271" </w:instrText>
      </w:r>
      <w:r>
        <w:rPr>
          <w:color w:val="auto"/>
          <w:highlight w:val="none"/>
        </w:rPr>
        <w:fldChar w:fldCharType="separate"/>
      </w:r>
      <w:r>
        <w:rPr>
          <w:rFonts w:ascii="宋体" w:hAnsi="宋体" w:cs="宋体"/>
          <w:color w:val="auto"/>
          <w:sz w:val="28"/>
          <w:szCs w:val="28"/>
          <w:highlight w:val="none"/>
        </w:rPr>
        <w:t xml:space="preserve">4.1 </w:t>
      </w:r>
      <w:r>
        <w:rPr>
          <w:rFonts w:hint="eastAsia" w:ascii="宋体" w:hAnsi="宋体" w:cs="宋体"/>
          <w:color w:val="auto"/>
          <w:sz w:val="28"/>
          <w:szCs w:val="28"/>
          <w:highlight w:val="none"/>
        </w:rPr>
        <w:t>工艺流程</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_Toc4271 \h </w:instrText>
      </w:r>
      <w:r>
        <w:rPr>
          <w:color w:val="auto"/>
          <w:sz w:val="28"/>
          <w:szCs w:val="28"/>
          <w:highlight w:val="none"/>
        </w:rPr>
        <w:fldChar w:fldCharType="separate"/>
      </w:r>
      <w:r>
        <w:rPr>
          <w:color w:val="auto"/>
          <w:sz w:val="28"/>
          <w:szCs w:val="28"/>
          <w:highlight w:val="none"/>
        </w:rPr>
        <w:t>10</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"_Toc31335" </w:instrText>
      </w:r>
      <w:r>
        <w:rPr>
          <w:color w:val="auto"/>
          <w:highlight w:val="none"/>
        </w:rPr>
        <w:fldChar w:fldCharType="separate"/>
      </w:r>
      <w:r>
        <w:rPr>
          <w:rFonts w:ascii="宋体" w:hAnsi="宋体" w:cs="宋体"/>
          <w:color w:val="auto"/>
          <w:sz w:val="28"/>
          <w:szCs w:val="28"/>
          <w:highlight w:val="none"/>
        </w:rPr>
        <w:t>4.2</w:t>
      </w:r>
      <w:r>
        <w:rPr>
          <w:rFonts w:hint="eastAsia" w:ascii="宋体" w:hAnsi="宋体" w:cs="宋体"/>
          <w:color w:val="auto"/>
          <w:sz w:val="28"/>
          <w:szCs w:val="28"/>
          <w:highlight w:val="none"/>
        </w:rPr>
        <w:t>公用工程消耗</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_Toc31335 \h </w:instrText>
      </w:r>
      <w:r>
        <w:rPr>
          <w:color w:val="auto"/>
          <w:sz w:val="28"/>
          <w:szCs w:val="28"/>
          <w:highlight w:val="none"/>
        </w:rPr>
        <w:fldChar w:fldCharType="separate"/>
      </w:r>
      <w:r>
        <w:rPr>
          <w:color w:val="auto"/>
          <w:sz w:val="28"/>
          <w:szCs w:val="28"/>
          <w:highlight w:val="none"/>
        </w:rPr>
        <w:t>12</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"_Toc3179" </w:instrText>
      </w:r>
      <w:r>
        <w:rPr>
          <w:color w:val="auto"/>
          <w:highlight w:val="none"/>
        </w:rPr>
        <w:fldChar w:fldCharType="separate"/>
      </w:r>
      <w:r>
        <w:rPr>
          <w:rFonts w:ascii="宋体" w:hAnsi="宋体" w:cs="宋体"/>
          <w:color w:val="auto"/>
          <w:sz w:val="28"/>
          <w:szCs w:val="28"/>
          <w:highlight w:val="none"/>
        </w:rPr>
        <w:t>4.3</w:t>
      </w:r>
      <w:r>
        <w:rPr>
          <w:rFonts w:hint="eastAsia" w:ascii="宋体" w:hAnsi="宋体" w:cs="宋体"/>
          <w:color w:val="auto"/>
          <w:sz w:val="28"/>
          <w:szCs w:val="28"/>
          <w:highlight w:val="none"/>
        </w:rPr>
        <w:t>主要设备的选择</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_Toc3179 \h </w:instrText>
      </w:r>
      <w:r>
        <w:rPr>
          <w:color w:val="auto"/>
          <w:sz w:val="28"/>
          <w:szCs w:val="28"/>
          <w:highlight w:val="none"/>
        </w:rPr>
        <w:fldChar w:fldCharType="separate"/>
      </w:r>
      <w:r>
        <w:rPr>
          <w:color w:val="auto"/>
          <w:sz w:val="28"/>
          <w:szCs w:val="28"/>
          <w:highlight w:val="none"/>
        </w:rPr>
        <w:t>12</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"_Toc16855" </w:instrText>
      </w:r>
      <w:r>
        <w:rPr>
          <w:color w:val="auto"/>
          <w:highlight w:val="none"/>
        </w:rPr>
        <w:fldChar w:fldCharType="separate"/>
      </w:r>
      <w:r>
        <w:rPr>
          <w:rFonts w:ascii="宋体" w:hAnsi="宋体" w:cs="宋体"/>
          <w:color w:val="auto"/>
          <w:sz w:val="28"/>
          <w:szCs w:val="28"/>
          <w:highlight w:val="none"/>
        </w:rPr>
        <w:t>4.4</w:t>
      </w:r>
      <w:r>
        <w:rPr>
          <w:rFonts w:hint="eastAsia" w:ascii="宋体" w:hAnsi="宋体" w:cs="宋体"/>
          <w:color w:val="auto"/>
          <w:sz w:val="28"/>
          <w:szCs w:val="28"/>
          <w:highlight w:val="none"/>
        </w:rPr>
        <w:t>自控系统</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_Toc16855 \h </w:instrText>
      </w:r>
      <w:r>
        <w:rPr>
          <w:color w:val="auto"/>
          <w:sz w:val="28"/>
          <w:szCs w:val="28"/>
          <w:highlight w:val="none"/>
        </w:rPr>
        <w:fldChar w:fldCharType="separate"/>
      </w:r>
      <w:r>
        <w:rPr>
          <w:color w:val="auto"/>
          <w:sz w:val="28"/>
          <w:szCs w:val="28"/>
          <w:highlight w:val="none"/>
        </w:rPr>
        <w:t>16</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"_Toc15007" </w:instrText>
      </w:r>
      <w:r>
        <w:rPr>
          <w:color w:val="auto"/>
          <w:highlight w:val="none"/>
        </w:rPr>
        <w:fldChar w:fldCharType="separate"/>
      </w:r>
      <w:r>
        <w:rPr>
          <w:rFonts w:ascii="宋体" w:hAnsi="宋体" w:cs="宋体"/>
          <w:color w:val="auto"/>
          <w:kern w:val="2"/>
          <w:sz w:val="28"/>
          <w:szCs w:val="28"/>
          <w:highlight w:val="none"/>
          <w:lang w:val="zh-CN"/>
        </w:rPr>
        <w:t xml:space="preserve">4.5 </w:t>
      </w:r>
      <w:r>
        <w:rPr>
          <w:rFonts w:hint="eastAsia" w:ascii="宋体" w:hAnsi="宋体" w:cs="宋体"/>
          <w:color w:val="auto"/>
          <w:kern w:val="2"/>
          <w:sz w:val="28"/>
          <w:szCs w:val="28"/>
          <w:highlight w:val="none"/>
          <w:lang w:val="zh-CN"/>
        </w:rPr>
        <w:t>装置界内公用工程设施</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_Toc15007 \h </w:instrText>
      </w:r>
      <w:r>
        <w:rPr>
          <w:color w:val="auto"/>
          <w:sz w:val="28"/>
          <w:szCs w:val="28"/>
          <w:highlight w:val="none"/>
        </w:rPr>
        <w:fldChar w:fldCharType="separate"/>
      </w:r>
      <w:r>
        <w:rPr>
          <w:color w:val="auto"/>
          <w:sz w:val="28"/>
          <w:szCs w:val="28"/>
          <w:highlight w:val="none"/>
        </w:rPr>
        <w:t>20</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"_Toc5585" </w:instrText>
      </w:r>
      <w:r>
        <w:rPr>
          <w:color w:val="auto"/>
          <w:highlight w:val="none"/>
        </w:rPr>
        <w:fldChar w:fldCharType="separate"/>
      </w:r>
      <w:r>
        <w:rPr>
          <w:rFonts w:ascii="宋体" w:hAnsi="宋体" w:cs="宋体"/>
          <w:color w:val="auto"/>
          <w:kern w:val="2"/>
          <w:sz w:val="28"/>
          <w:szCs w:val="28"/>
          <w:highlight w:val="none"/>
          <w:lang w:val="zh-CN"/>
        </w:rPr>
        <w:t>4.</w:t>
      </w:r>
      <w:r>
        <w:rPr>
          <w:rFonts w:ascii="宋体" w:hAnsi="宋体" w:cs="宋体"/>
          <w:color w:val="auto"/>
          <w:kern w:val="2"/>
          <w:sz w:val="28"/>
          <w:szCs w:val="28"/>
          <w:highlight w:val="none"/>
        </w:rPr>
        <w:t>6</w:t>
      </w:r>
      <w:r>
        <w:rPr>
          <w:rFonts w:hint="eastAsia" w:ascii="宋体" w:hAnsi="宋体" w:cs="宋体"/>
          <w:color w:val="auto"/>
          <w:kern w:val="2"/>
          <w:sz w:val="28"/>
          <w:szCs w:val="28"/>
          <w:highlight w:val="none"/>
          <w:lang w:val="zh-CN"/>
        </w:rPr>
        <w:t>装置的占地</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_Toc5585 \h </w:instrText>
      </w:r>
      <w:r>
        <w:rPr>
          <w:color w:val="auto"/>
          <w:sz w:val="28"/>
          <w:szCs w:val="28"/>
          <w:highlight w:val="none"/>
        </w:rPr>
        <w:fldChar w:fldCharType="separate"/>
      </w:r>
      <w:r>
        <w:rPr>
          <w:color w:val="auto"/>
          <w:sz w:val="28"/>
          <w:szCs w:val="28"/>
          <w:highlight w:val="none"/>
        </w:rPr>
        <w:t>20</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"_Toc16777" </w:instrText>
      </w:r>
      <w:r>
        <w:rPr>
          <w:color w:val="auto"/>
          <w:highlight w:val="none"/>
        </w:rPr>
        <w:fldChar w:fldCharType="separate"/>
      </w:r>
      <w:r>
        <w:rPr>
          <w:rFonts w:ascii="宋体" w:hAnsi="宋体" w:cs="宋体"/>
          <w:color w:val="auto"/>
          <w:kern w:val="2"/>
          <w:sz w:val="28"/>
          <w:szCs w:val="28"/>
          <w:highlight w:val="none"/>
          <w:lang w:val="zh-CN"/>
        </w:rPr>
        <w:t>4.</w:t>
      </w:r>
      <w:r>
        <w:rPr>
          <w:rFonts w:ascii="宋体" w:hAnsi="宋体" w:cs="宋体"/>
          <w:color w:val="auto"/>
          <w:kern w:val="2"/>
          <w:sz w:val="28"/>
          <w:szCs w:val="28"/>
          <w:highlight w:val="none"/>
        </w:rPr>
        <w:t>7</w:t>
      </w:r>
      <w:r>
        <w:rPr>
          <w:rFonts w:hint="eastAsia" w:ascii="宋体" w:hAnsi="宋体" w:cs="宋体"/>
          <w:color w:val="auto"/>
          <w:kern w:val="2"/>
          <w:sz w:val="28"/>
          <w:szCs w:val="28"/>
          <w:highlight w:val="none"/>
          <w:lang w:val="zh-CN"/>
        </w:rPr>
        <w:t>工艺技术及设备风险分析</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_Toc16777 \h </w:instrText>
      </w:r>
      <w:r>
        <w:rPr>
          <w:color w:val="auto"/>
          <w:sz w:val="28"/>
          <w:szCs w:val="28"/>
          <w:highlight w:val="none"/>
        </w:rPr>
        <w:fldChar w:fldCharType="separate"/>
      </w:r>
      <w:r>
        <w:rPr>
          <w:color w:val="auto"/>
          <w:sz w:val="28"/>
          <w:szCs w:val="28"/>
          <w:highlight w:val="none"/>
        </w:rPr>
        <w:t>20</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"_Toc7330" </w:instrText>
      </w:r>
      <w:r>
        <w:rPr>
          <w:color w:val="auto"/>
          <w:highlight w:val="none"/>
        </w:rPr>
        <w:fldChar w:fldCharType="separate"/>
      </w:r>
      <w:r>
        <w:rPr>
          <w:rFonts w:hint="eastAsia" w:ascii="宋体" w:hAnsi="宋体" w:cs="宋体"/>
          <w:b/>
          <w:color w:val="auto"/>
          <w:sz w:val="28"/>
          <w:szCs w:val="28"/>
          <w:highlight w:val="none"/>
          <w:lang w:val="zh-CN"/>
        </w:rPr>
        <w:t>第五章</w:t>
      </w:r>
      <w:r>
        <w:rPr>
          <w:rFonts w:ascii="宋体" w:hAnsi="宋体" w:cs="宋体"/>
          <w:b/>
          <w:color w:val="auto"/>
          <w:sz w:val="28"/>
          <w:szCs w:val="28"/>
          <w:highlight w:val="none"/>
          <w:lang w:val="zh-CN"/>
        </w:rPr>
        <w:t xml:space="preserve"> </w:t>
      </w:r>
      <w:r>
        <w:rPr>
          <w:rFonts w:hint="eastAsia" w:ascii="宋体" w:hAnsi="宋体" w:cs="宋体"/>
          <w:b/>
          <w:color w:val="auto"/>
          <w:sz w:val="28"/>
          <w:szCs w:val="28"/>
          <w:highlight w:val="none"/>
          <w:lang w:val="zh-CN"/>
        </w:rPr>
        <w:t>原材料、动力供应</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_Toc7330 \h </w:instrText>
      </w:r>
      <w:r>
        <w:rPr>
          <w:b/>
          <w:color w:val="auto"/>
          <w:sz w:val="28"/>
          <w:szCs w:val="28"/>
          <w:highlight w:val="none"/>
        </w:rPr>
        <w:fldChar w:fldCharType="separate"/>
      </w:r>
      <w:r>
        <w:rPr>
          <w:b/>
          <w:color w:val="auto"/>
          <w:sz w:val="28"/>
          <w:szCs w:val="28"/>
          <w:highlight w:val="none"/>
        </w:rPr>
        <w:t>21</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"_Toc28166" </w:instrText>
      </w:r>
      <w:r>
        <w:rPr>
          <w:color w:val="auto"/>
          <w:highlight w:val="none"/>
        </w:rPr>
        <w:fldChar w:fldCharType="separate"/>
      </w:r>
      <w:r>
        <w:rPr>
          <w:rFonts w:ascii="宋体" w:hAnsi="宋体" w:cs="宋体"/>
          <w:color w:val="auto"/>
          <w:sz w:val="28"/>
          <w:szCs w:val="28"/>
          <w:highlight w:val="none"/>
        </w:rPr>
        <w:t>5</w:t>
      </w:r>
      <w:r>
        <w:rPr>
          <w:rFonts w:ascii="宋体" w:hAnsi="宋体" w:cs="宋体"/>
          <w:color w:val="auto"/>
          <w:sz w:val="28"/>
          <w:szCs w:val="28"/>
          <w:highlight w:val="none"/>
          <w:lang w:val="zh-CN"/>
        </w:rPr>
        <w:t xml:space="preserve">.1 </w:t>
      </w:r>
      <w:r>
        <w:rPr>
          <w:rFonts w:hint="eastAsia" w:ascii="宋体" w:hAnsi="宋体" w:cs="宋体"/>
          <w:color w:val="auto"/>
          <w:sz w:val="28"/>
          <w:szCs w:val="28"/>
          <w:highlight w:val="none"/>
          <w:lang w:val="zh-CN"/>
        </w:rPr>
        <w:t>主要原材料供应</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_Toc28166 \h </w:instrText>
      </w:r>
      <w:r>
        <w:rPr>
          <w:color w:val="auto"/>
          <w:sz w:val="28"/>
          <w:szCs w:val="28"/>
          <w:highlight w:val="none"/>
        </w:rPr>
        <w:fldChar w:fldCharType="separate"/>
      </w:r>
      <w:r>
        <w:rPr>
          <w:color w:val="auto"/>
          <w:sz w:val="28"/>
          <w:szCs w:val="28"/>
          <w:highlight w:val="none"/>
        </w:rPr>
        <w:t>21</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"_Toc6527" </w:instrText>
      </w:r>
      <w:r>
        <w:rPr>
          <w:color w:val="auto"/>
          <w:highlight w:val="none"/>
        </w:rPr>
        <w:fldChar w:fldCharType="separate"/>
      </w:r>
      <w:r>
        <w:rPr>
          <w:rFonts w:ascii="宋体" w:hAnsi="宋体" w:cs="宋体"/>
          <w:color w:val="auto"/>
          <w:sz w:val="28"/>
          <w:szCs w:val="28"/>
          <w:highlight w:val="none"/>
        </w:rPr>
        <w:t>5.2</w:t>
      </w:r>
      <w:r>
        <w:rPr>
          <w:rFonts w:hint="eastAsia" w:ascii="宋体" w:hAnsi="宋体" w:cs="宋体"/>
          <w:color w:val="auto"/>
          <w:sz w:val="28"/>
          <w:szCs w:val="28"/>
          <w:highlight w:val="none"/>
        </w:rPr>
        <w:t>主要原辅材料市场分析</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_Toc6527 \h </w:instrText>
      </w:r>
      <w:r>
        <w:rPr>
          <w:color w:val="auto"/>
          <w:sz w:val="28"/>
          <w:szCs w:val="28"/>
          <w:highlight w:val="none"/>
        </w:rPr>
        <w:fldChar w:fldCharType="separate"/>
      </w:r>
      <w:r>
        <w:rPr>
          <w:color w:val="auto"/>
          <w:sz w:val="28"/>
          <w:szCs w:val="28"/>
          <w:highlight w:val="none"/>
        </w:rPr>
        <w:t>22</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"_Toc8469" </w:instrText>
      </w:r>
      <w:r>
        <w:rPr>
          <w:color w:val="auto"/>
          <w:highlight w:val="none"/>
        </w:rPr>
        <w:fldChar w:fldCharType="separate"/>
      </w:r>
      <w:r>
        <w:rPr>
          <w:rFonts w:ascii="宋体" w:hAnsi="宋体" w:cs="宋体"/>
          <w:color w:val="auto"/>
          <w:sz w:val="28"/>
          <w:szCs w:val="28"/>
          <w:highlight w:val="none"/>
        </w:rPr>
        <w:t>5.3</w:t>
      </w:r>
      <w:r>
        <w:rPr>
          <w:rFonts w:hint="eastAsia" w:ascii="宋体" w:hAnsi="宋体" w:cs="宋体"/>
          <w:color w:val="auto"/>
          <w:sz w:val="28"/>
          <w:szCs w:val="28"/>
          <w:highlight w:val="none"/>
        </w:rPr>
        <w:t>资源利用的合理性</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_Toc8469 \h </w:instrText>
      </w:r>
      <w:r>
        <w:rPr>
          <w:color w:val="auto"/>
          <w:sz w:val="28"/>
          <w:szCs w:val="28"/>
          <w:highlight w:val="none"/>
        </w:rPr>
        <w:fldChar w:fldCharType="separate"/>
      </w:r>
      <w:r>
        <w:rPr>
          <w:color w:val="auto"/>
          <w:sz w:val="28"/>
          <w:szCs w:val="28"/>
          <w:highlight w:val="none"/>
        </w:rPr>
        <w:t>22</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"_Toc29060" </w:instrText>
      </w:r>
      <w:r>
        <w:rPr>
          <w:color w:val="auto"/>
          <w:highlight w:val="none"/>
        </w:rPr>
        <w:fldChar w:fldCharType="separate"/>
      </w:r>
      <w:r>
        <w:rPr>
          <w:rFonts w:hint="eastAsia" w:ascii="宋体" w:hAnsi="宋体" w:cs="宋体"/>
          <w:b/>
          <w:color w:val="auto"/>
          <w:sz w:val="28"/>
          <w:szCs w:val="28"/>
          <w:highlight w:val="none"/>
          <w:lang w:val="zh-CN"/>
        </w:rPr>
        <w:t>第六章</w:t>
      </w:r>
      <w:r>
        <w:rPr>
          <w:rFonts w:ascii="宋体" w:hAnsi="宋体" w:cs="宋体"/>
          <w:b/>
          <w:color w:val="auto"/>
          <w:sz w:val="28"/>
          <w:szCs w:val="28"/>
          <w:highlight w:val="none"/>
          <w:lang w:val="zh-CN"/>
        </w:rPr>
        <w:t xml:space="preserve"> </w:t>
      </w:r>
      <w:r>
        <w:rPr>
          <w:rFonts w:hint="eastAsia" w:ascii="宋体" w:hAnsi="宋体" w:cs="宋体"/>
          <w:b/>
          <w:color w:val="auto"/>
          <w:sz w:val="28"/>
          <w:szCs w:val="28"/>
          <w:highlight w:val="none"/>
          <w:lang w:val="zh-CN"/>
        </w:rPr>
        <w:t>建设条件和</w:t>
      </w:r>
      <w:r>
        <w:rPr>
          <w:rFonts w:hint="eastAsia" w:ascii="宋体" w:hAnsi="宋体" w:cs="宋体"/>
          <w:b/>
          <w:color w:val="auto"/>
          <w:sz w:val="28"/>
          <w:szCs w:val="28"/>
          <w:highlight w:val="none"/>
        </w:rPr>
        <w:t>项目</w:t>
      </w:r>
      <w:r>
        <w:rPr>
          <w:rFonts w:hint="eastAsia" w:ascii="宋体" w:hAnsi="宋体" w:cs="宋体"/>
          <w:b/>
          <w:color w:val="auto"/>
          <w:sz w:val="28"/>
          <w:szCs w:val="28"/>
          <w:highlight w:val="none"/>
          <w:lang w:val="zh-CN"/>
        </w:rPr>
        <w:t>方案</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_Toc29060 \h </w:instrText>
      </w:r>
      <w:r>
        <w:rPr>
          <w:b/>
          <w:color w:val="auto"/>
          <w:sz w:val="28"/>
          <w:szCs w:val="28"/>
          <w:highlight w:val="none"/>
        </w:rPr>
        <w:fldChar w:fldCharType="separate"/>
      </w:r>
      <w:r>
        <w:rPr>
          <w:b/>
          <w:color w:val="auto"/>
          <w:sz w:val="28"/>
          <w:szCs w:val="28"/>
          <w:highlight w:val="none"/>
        </w:rPr>
        <w:t>23</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"_Toc31506" </w:instrText>
      </w:r>
      <w:r>
        <w:rPr>
          <w:color w:val="auto"/>
          <w:highlight w:val="none"/>
        </w:rPr>
        <w:fldChar w:fldCharType="separate"/>
      </w:r>
      <w:r>
        <w:rPr>
          <w:rFonts w:ascii="宋体" w:hAnsi="宋体" w:cs="宋体"/>
          <w:color w:val="auto"/>
          <w:sz w:val="28"/>
          <w:szCs w:val="28"/>
          <w:highlight w:val="none"/>
        </w:rPr>
        <w:t>6.1</w:t>
      </w:r>
      <w:r>
        <w:rPr>
          <w:rFonts w:hint="eastAsia" w:ascii="宋体" w:hAnsi="宋体" w:cs="宋体"/>
          <w:color w:val="auto"/>
          <w:sz w:val="28"/>
          <w:szCs w:val="28"/>
          <w:highlight w:val="none"/>
        </w:rPr>
        <w:t>建设条件</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_Toc31506 \h </w:instrText>
      </w:r>
      <w:r>
        <w:rPr>
          <w:color w:val="auto"/>
          <w:sz w:val="28"/>
          <w:szCs w:val="28"/>
          <w:highlight w:val="none"/>
        </w:rPr>
        <w:fldChar w:fldCharType="separate"/>
      </w:r>
      <w:r>
        <w:rPr>
          <w:color w:val="auto"/>
          <w:sz w:val="28"/>
          <w:szCs w:val="28"/>
          <w:highlight w:val="none"/>
        </w:rPr>
        <w:t>23</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"_Toc7300" </w:instrText>
      </w:r>
      <w:r>
        <w:rPr>
          <w:color w:val="auto"/>
          <w:highlight w:val="none"/>
        </w:rPr>
        <w:fldChar w:fldCharType="separate"/>
      </w:r>
      <w:r>
        <w:rPr>
          <w:rFonts w:ascii="宋体" w:hAnsi="宋体" w:cs="宋体"/>
          <w:color w:val="auto"/>
          <w:sz w:val="28"/>
          <w:szCs w:val="28"/>
          <w:highlight w:val="none"/>
        </w:rPr>
        <w:t>6.2</w:t>
      </w:r>
      <w:r>
        <w:rPr>
          <w:rFonts w:hint="eastAsia" w:ascii="宋体" w:hAnsi="宋体" w:cs="宋体"/>
          <w:color w:val="auto"/>
          <w:sz w:val="28"/>
          <w:szCs w:val="28"/>
          <w:highlight w:val="none"/>
        </w:rPr>
        <w:t>项目方案</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_Toc7300 \h </w:instrText>
      </w:r>
      <w:r>
        <w:rPr>
          <w:color w:val="auto"/>
          <w:sz w:val="28"/>
          <w:szCs w:val="28"/>
          <w:highlight w:val="none"/>
        </w:rPr>
        <w:fldChar w:fldCharType="separate"/>
      </w:r>
      <w:r>
        <w:rPr>
          <w:color w:val="auto"/>
          <w:sz w:val="28"/>
          <w:szCs w:val="28"/>
          <w:highlight w:val="none"/>
        </w:rPr>
        <w:t>31</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"_Toc12745" </w:instrText>
      </w:r>
      <w:r>
        <w:rPr>
          <w:color w:val="auto"/>
          <w:highlight w:val="none"/>
        </w:rPr>
        <w:fldChar w:fldCharType="separate"/>
      </w:r>
      <w:r>
        <w:rPr>
          <w:rFonts w:hint="eastAsia" w:ascii="宋体" w:hAnsi="宋体" w:cs="宋体"/>
          <w:b/>
          <w:color w:val="auto"/>
          <w:sz w:val="28"/>
          <w:szCs w:val="28"/>
          <w:highlight w:val="none"/>
          <w:lang w:val="zh-CN"/>
        </w:rPr>
        <w:t>第七章</w:t>
      </w:r>
      <w:r>
        <w:rPr>
          <w:rFonts w:ascii="宋体" w:hAnsi="宋体" w:cs="宋体"/>
          <w:b/>
          <w:color w:val="auto"/>
          <w:sz w:val="28"/>
          <w:szCs w:val="28"/>
          <w:highlight w:val="none"/>
          <w:lang w:val="zh-CN"/>
        </w:rPr>
        <w:t xml:space="preserve"> </w:t>
      </w:r>
      <w:r>
        <w:rPr>
          <w:rFonts w:hint="eastAsia" w:ascii="宋体" w:hAnsi="宋体" w:cs="宋体"/>
          <w:b/>
          <w:color w:val="auto"/>
          <w:sz w:val="28"/>
          <w:szCs w:val="28"/>
          <w:highlight w:val="none"/>
          <w:lang w:val="zh-CN"/>
        </w:rPr>
        <w:t>总图运输、储运、土建</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_Toc12745 \h </w:instrText>
      </w:r>
      <w:r>
        <w:rPr>
          <w:b/>
          <w:color w:val="auto"/>
          <w:sz w:val="28"/>
          <w:szCs w:val="28"/>
          <w:highlight w:val="none"/>
        </w:rPr>
        <w:fldChar w:fldCharType="separate"/>
      </w:r>
      <w:r>
        <w:rPr>
          <w:b/>
          <w:color w:val="auto"/>
          <w:sz w:val="28"/>
          <w:szCs w:val="28"/>
          <w:highlight w:val="none"/>
        </w:rPr>
        <w:t>32</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"_Toc10585" </w:instrText>
      </w:r>
      <w:r>
        <w:rPr>
          <w:color w:val="auto"/>
          <w:highlight w:val="none"/>
        </w:rPr>
        <w:fldChar w:fldCharType="separate"/>
      </w:r>
      <w:r>
        <w:rPr>
          <w:rFonts w:ascii="宋体" w:hAnsi="宋体" w:cs="宋体"/>
          <w:color w:val="auto"/>
          <w:sz w:val="28"/>
          <w:szCs w:val="28"/>
          <w:highlight w:val="none"/>
        </w:rPr>
        <w:t>7.1</w:t>
      </w:r>
      <w:r>
        <w:rPr>
          <w:rFonts w:hint="eastAsia" w:ascii="宋体" w:hAnsi="宋体" w:cs="宋体"/>
          <w:color w:val="auto"/>
          <w:sz w:val="28"/>
          <w:szCs w:val="28"/>
          <w:highlight w:val="none"/>
        </w:rPr>
        <w:t>总图运输</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_Toc10585 \h </w:instrText>
      </w:r>
      <w:r>
        <w:rPr>
          <w:color w:val="auto"/>
          <w:sz w:val="28"/>
          <w:szCs w:val="28"/>
          <w:highlight w:val="none"/>
        </w:rPr>
        <w:fldChar w:fldCharType="separate"/>
      </w:r>
      <w:r>
        <w:rPr>
          <w:color w:val="auto"/>
          <w:sz w:val="28"/>
          <w:szCs w:val="28"/>
          <w:highlight w:val="none"/>
        </w:rPr>
        <w:t>32</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"_Toc22974" </w:instrText>
      </w:r>
      <w:r>
        <w:rPr>
          <w:color w:val="auto"/>
          <w:highlight w:val="none"/>
        </w:rPr>
        <w:fldChar w:fldCharType="separate"/>
      </w:r>
      <w:r>
        <w:rPr>
          <w:rFonts w:ascii="宋体" w:hAnsi="宋体" w:cs="宋体"/>
          <w:bCs/>
          <w:color w:val="auto"/>
          <w:kern w:val="2"/>
          <w:sz w:val="28"/>
          <w:szCs w:val="28"/>
          <w:highlight w:val="none"/>
        </w:rPr>
        <w:t>7.2</w:t>
      </w:r>
      <w:r>
        <w:rPr>
          <w:rFonts w:hint="eastAsia" w:ascii="宋体" w:hAnsi="宋体" w:cs="宋体"/>
          <w:bCs/>
          <w:color w:val="auto"/>
          <w:kern w:val="2"/>
          <w:sz w:val="28"/>
          <w:szCs w:val="28"/>
          <w:highlight w:val="none"/>
        </w:rPr>
        <w:t>储运</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_Toc22974 \h </w:instrText>
      </w:r>
      <w:r>
        <w:rPr>
          <w:color w:val="auto"/>
          <w:sz w:val="28"/>
          <w:szCs w:val="28"/>
          <w:highlight w:val="none"/>
        </w:rPr>
        <w:fldChar w:fldCharType="separate"/>
      </w:r>
      <w:r>
        <w:rPr>
          <w:color w:val="auto"/>
          <w:sz w:val="28"/>
          <w:szCs w:val="28"/>
          <w:highlight w:val="none"/>
        </w:rPr>
        <w:t>34</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"_Toc21091" </w:instrText>
      </w:r>
      <w:r>
        <w:rPr>
          <w:color w:val="auto"/>
          <w:highlight w:val="none"/>
        </w:rPr>
        <w:fldChar w:fldCharType="separate"/>
      </w:r>
      <w:r>
        <w:rPr>
          <w:rFonts w:ascii="宋体" w:hAnsi="宋体" w:cs="宋体"/>
          <w:bCs/>
          <w:color w:val="auto"/>
          <w:sz w:val="28"/>
          <w:szCs w:val="28"/>
          <w:highlight w:val="none"/>
        </w:rPr>
        <w:t>7.3</w:t>
      </w:r>
      <w:r>
        <w:rPr>
          <w:rFonts w:hint="eastAsia" w:ascii="宋体" w:hAnsi="宋体" w:cs="宋体"/>
          <w:bCs/>
          <w:color w:val="auto"/>
          <w:sz w:val="28"/>
          <w:szCs w:val="28"/>
          <w:highlight w:val="none"/>
        </w:rPr>
        <w:t>土建</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_Toc21091 \h </w:instrText>
      </w:r>
      <w:r>
        <w:rPr>
          <w:color w:val="auto"/>
          <w:sz w:val="28"/>
          <w:szCs w:val="28"/>
          <w:highlight w:val="none"/>
        </w:rPr>
        <w:fldChar w:fldCharType="separate"/>
      </w:r>
      <w:r>
        <w:rPr>
          <w:color w:val="auto"/>
          <w:sz w:val="28"/>
          <w:szCs w:val="28"/>
          <w:highlight w:val="none"/>
        </w:rPr>
        <w:t>34</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"_Toc24070" </w:instrText>
      </w:r>
      <w:r>
        <w:rPr>
          <w:color w:val="auto"/>
          <w:highlight w:val="none"/>
        </w:rPr>
        <w:fldChar w:fldCharType="separate"/>
      </w:r>
      <w:r>
        <w:rPr>
          <w:rFonts w:hint="eastAsia" w:ascii="宋体" w:hAnsi="宋体" w:cs="宋体"/>
          <w:b/>
          <w:color w:val="auto"/>
          <w:sz w:val="28"/>
          <w:szCs w:val="28"/>
          <w:highlight w:val="none"/>
          <w:lang w:val="zh-CN"/>
        </w:rPr>
        <w:t>第八章</w:t>
      </w:r>
      <w:r>
        <w:rPr>
          <w:rFonts w:ascii="宋体" w:hAnsi="宋体" w:cs="宋体"/>
          <w:b/>
          <w:color w:val="auto"/>
          <w:sz w:val="28"/>
          <w:szCs w:val="28"/>
          <w:highlight w:val="none"/>
          <w:lang w:val="zh-CN"/>
        </w:rPr>
        <w:t xml:space="preserve"> </w:t>
      </w:r>
      <w:r>
        <w:rPr>
          <w:rFonts w:hint="eastAsia" w:ascii="宋体" w:hAnsi="宋体" w:cs="宋体"/>
          <w:b/>
          <w:color w:val="auto"/>
          <w:sz w:val="28"/>
          <w:szCs w:val="28"/>
          <w:highlight w:val="none"/>
          <w:lang w:val="zh-CN"/>
        </w:rPr>
        <w:t>公用工程方案及辅助生产设施</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_Toc24070 \h </w:instrText>
      </w:r>
      <w:r>
        <w:rPr>
          <w:b/>
          <w:color w:val="auto"/>
          <w:sz w:val="28"/>
          <w:szCs w:val="28"/>
          <w:highlight w:val="none"/>
        </w:rPr>
        <w:fldChar w:fldCharType="separate"/>
      </w:r>
      <w:r>
        <w:rPr>
          <w:b/>
          <w:color w:val="auto"/>
          <w:sz w:val="28"/>
          <w:szCs w:val="28"/>
          <w:highlight w:val="none"/>
        </w:rPr>
        <w:t>37</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"_Toc18701" </w:instrText>
      </w:r>
      <w:r>
        <w:rPr>
          <w:color w:val="auto"/>
          <w:highlight w:val="none"/>
        </w:rPr>
        <w:fldChar w:fldCharType="separate"/>
      </w:r>
      <w:r>
        <w:rPr>
          <w:rFonts w:ascii="宋体" w:hAnsi="宋体" w:cs="宋体"/>
          <w:bCs/>
          <w:color w:val="auto"/>
          <w:sz w:val="28"/>
          <w:szCs w:val="28"/>
          <w:highlight w:val="none"/>
        </w:rPr>
        <w:t xml:space="preserve">8.1 </w:t>
      </w:r>
      <w:r>
        <w:rPr>
          <w:rFonts w:hint="eastAsia" w:ascii="宋体" w:hAnsi="宋体" w:cs="宋体"/>
          <w:bCs/>
          <w:color w:val="auto"/>
          <w:sz w:val="28"/>
          <w:szCs w:val="28"/>
          <w:highlight w:val="none"/>
        </w:rPr>
        <w:t>公用工程方案</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_Toc18701 \h </w:instrText>
      </w:r>
      <w:r>
        <w:rPr>
          <w:color w:val="auto"/>
          <w:sz w:val="28"/>
          <w:szCs w:val="28"/>
          <w:highlight w:val="none"/>
        </w:rPr>
        <w:fldChar w:fldCharType="separate"/>
      </w:r>
      <w:r>
        <w:rPr>
          <w:color w:val="auto"/>
          <w:sz w:val="28"/>
          <w:szCs w:val="28"/>
          <w:highlight w:val="none"/>
        </w:rPr>
        <w:t>37</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"_Toc4920" </w:instrText>
      </w:r>
      <w:r>
        <w:rPr>
          <w:color w:val="auto"/>
          <w:highlight w:val="none"/>
        </w:rPr>
        <w:fldChar w:fldCharType="separate"/>
      </w:r>
      <w:r>
        <w:rPr>
          <w:rFonts w:ascii="宋体" w:hAnsi="宋体" w:cs="宋体"/>
          <w:bCs/>
          <w:color w:val="auto"/>
          <w:spacing w:val="-6"/>
          <w:sz w:val="28"/>
          <w:szCs w:val="28"/>
          <w:highlight w:val="none"/>
        </w:rPr>
        <w:t>8.2</w:t>
      </w:r>
      <w:r>
        <w:rPr>
          <w:rFonts w:hint="eastAsia" w:ascii="宋体" w:hAnsi="宋体" w:cs="宋体"/>
          <w:bCs/>
          <w:color w:val="auto"/>
          <w:spacing w:val="-6"/>
          <w:sz w:val="28"/>
          <w:szCs w:val="28"/>
          <w:highlight w:val="none"/>
        </w:rPr>
        <w:t>辅助生产设施</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_Toc4920 \h </w:instrText>
      </w:r>
      <w:r>
        <w:rPr>
          <w:color w:val="auto"/>
          <w:sz w:val="28"/>
          <w:szCs w:val="28"/>
          <w:highlight w:val="none"/>
        </w:rPr>
        <w:fldChar w:fldCharType="separate"/>
      </w:r>
      <w:r>
        <w:rPr>
          <w:color w:val="auto"/>
          <w:sz w:val="28"/>
          <w:szCs w:val="28"/>
          <w:highlight w:val="none"/>
        </w:rPr>
        <w:t>42</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"_Toc6341" </w:instrText>
      </w:r>
      <w:r>
        <w:rPr>
          <w:color w:val="auto"/>
          <w:highlight w:val="none"/>
        </w:rPr>
        <w:fldChar w:fldCharType="separate"/>
      </w:r>
      <w:r>
        <w:rPr>
          <w:rFonts w:hint="eastAsia" w:ascii="宋体" w:hAnsi="宋体" w:cs="宋体"/>
          <w:b/>
          <w:color w:val="auto"/>
          <w:sz w:val="28"/>
          <w:szCs w:val="28"/>
          <w:highlight w:val="none"/>
          <w:lang w:val="zh-CN"/>
        </w:rPr>
        <w:t>第九章</w:t>
      </w:r>
      <w:r>
        <w:rPr>
          <w:rFonts w:ascii="宋体" w:hAnsi="宋体" w:cs="宋体"/>
          <w:b/>
          <w:color w:val="auto"/>
          <w:sz w:val="28"/>
          <w:szCs w:val="28"/>
          <w:highlight w:val="none"/>
          <w:lang w:val="zh-CN"/>
        </w:rPr>
        <w:t xml:space="preserve"> </w:t>
      </w:r>
      <w:r>
        <w:rPr>
          <w:rFonts w:hint="eastAsia" w:ascii="宋体" w:hAnsi="宋体" w:cs="宋体"/>
          <w:b/>
          <w:color w:val="auto"/>
          <w:sz w:val="28"/>
          <w:szCs w:val="28"/>
          <w:highlight w:val="none"/>
          <w:lang w:val="zh-CN"/>
        </w:rPr>
        <w:t>节能</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_Toc6341 \h </w:instrText>
      </w:r>
      <w:r>
        <w:rPr>
          <w:b/>
          <w:color w:val="auto"/>
          <w:sz w:val="28"/>
          <w:szCs w:val="28"/>
          <w:highlight w:val="none"/>
        </w:rPr>
        <w:fldChar w:fldCharType="separate"/>
      </w:r>
      <w:r>
        <w:rPr>
          <w:b/>
          <w:color w:val="auto"/>
          <w:sz w:val="28"/>
          <w:szCs w:val="28"/>
          <w:highlight w:val="none"/>
        </w:rPr>
        <w:t>43</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"_Toc10735" </w:instrText>
      </w:r>
      <w:r>
        <w:rPr>
          <w:color w:val="auto"/>
          <w:highlight w:val="none"/>
        </w:rPr>
        <w:fldChar w:fldCharType="separate"/>
      </w:r>
      <w:r>
        <w:rPr>
          <w:rFonts w:ascii="宋体" w:hAnsi="宋体" w:cs="宋体"/>
          <w:color w:val="auto"/>
          <w:sz w:val="28"/>
          <w:szCs w:val="28"/>
          <w:highlight w:val="none"/>
        </w:rPr>
        <w:t xml:space="preserve">9.1 </w:t>
      </w:r>
      <w:r>
        <w:rPr>
          <w:rFonts w:hint="eastAsia" w:ascii="宋体" w:hAnsi="宋体" w:cs="宋体"/>
          <w:color w:val="auto"/>
          <w:sz w:val="28"/>
          <w:szCs w:val="28"/>
          <w:highlight w:val="none"/>
        </w:rPr>
        <w:t>项目能源消费情况</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_Toc10735 \h </w:instrText>
      </w:r>
      <w:r>
        <w:rPr>
          <w:color w:val="auto"/>
          <w:sz w:val="28"/>
          <w:szCs w:val="28"/>
          <w:highlight w:val="none"/>
        </w:rPr>
        <w:fldChar w:fldCharType="separate"/>
      </w:r>
      <w:r>
        <w:rPr>
          <w:color w:val="auto"/>
          <w:sz w:val="28"/>
          <w:szCs w:val="28"/>
          <w:highlight w:val="none"/>
        </w:rPr>
        <w:t>43</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"_Toc18736" </w:instrText>
      </w:r>
      <w:r>
        <w:rPr>
          <w:color w:val="auto"/>
          <w:highlight w:val="none"/>
        </w:rPr>
        <w:fldChar w:fldCharType="separate"/>
      </w:r>
      <w:r>
        <w:rPr>
          <w:rFonts w:ascii="宋体" w:hAnsi="宋体" w:cs="宋体"/>
          <w:color w:val="auto"/>
          <w:sz w:val="28"/>
          <w:szCs w:val="28"/>
          <w:highlight w:val="none"/>
        </w:rPr>
        <w:t xml:space="preserve">9.2 </w:t>
      </w:r>
      <w:r>
        <w:rPr>
          <w:rFonts w:hint="eastAsia" w:ascii="宋体" w:hAnsi="宋体" w:cs="宋体"/>
          <w:color w:val="auto"/>
          <w:sz w:val="28"/>
          <w:szCs w:val="28"/>
          <w:highlight w:val="none"/>
        </w:rPr>
        <w:t>项目能耗指标</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_Toc18736 \h </w:instrText>
      </w:r>
      <w:r>
        <w:rPr>
          <w:color w:val="auto"/>
          <w:sz w:val="28"/>
          <w:szCs w:val="28"/>
          <w:highlight w:val="none"/>
        </w:rPr>
        <w:fldChar w:fldCharType="separate"/>
      </w:r>
      <w:r>
        <w:rPr>
          <w:color w:val="auto"/>
          <w:sz w:val="28"/>
          <w:szCs w:val="28"/>
          <w:highlight w:val="none"/>
        </w:rPr>
        <w:t>43</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"_Toc2720" </w:instrText>
      </w:r>
      <w:r>
        <w:rPr>
          <w:color w:val="auto"/>
          <w:highlight w:val="none"/>
        </w:rPr>
        <w:fldChar w:fldCharType="separate"/>
      </w:r>
      <w:r>
        <w:rPr>
          <w:rFonts w:ascii="宋体" w:hAnsi="宋体" w:cs="宋体"/>
          <w:color w:val="auto"/>
          <w:sz w:val="28"/>
          <w:szCs w:val="28"/>
          <w:highlight w:val="none"/>
        </w:rPr>
        <w:t>9.3</w:t>
      </w:r>
      <w:r>
        <w:rPr>
          <w:rFonts w:hint="eastAsia" w:ascii="宋体" w:hAnsi="宋体" w:cs="宋体"/>
          <w:color w:val="auto"/>
          <w:sz w:val="28"/>
          <w:szCs w:val="28"/>
          <w:highlight w:val="none"/>
        </w:rPr>
        <w:t>项目节能分析与措施</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_Toc2720 \h </w:instrText>
      </w:r>
      <w:r>
        <w:rPr>
          <w:color w:val="auto"/>
          <w:sz w:val="28"/>
          <w:szCs w:val="28"/>
          <w:highlight w:val="none"/>
        </w:rPr>
        <w:fldChar w:fldCharType="separate"/>
      </w:r>
      <w:r>
        <w:rPr>
          <w:color w:val="auto"/>
          <w:sz w:val="28"/>
          <w:szCs w:val="28"/>
          <w:highlight w:val="none"/>
        </w:rPr>
        <w:t>44</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"_Toc25192" </w:instrText>
      </w:r>
      <w:r>
        <w:rPr>
          <w:color w:val="auto"/>
          <w:highlight w:val="none"/>
        </w:rPr>
        <w:fldChar w:fldCharType="separate"/>
      </w:r>
      <w:r>
        <w:rPr>
          <w:rFonts w:hint="eastAsia" w:ascii="宋体" w:hAnsi="宋体" w:cs="宋体"/>
          <w:b/>
          <w:color w:val="auto"/>
          <w:sz w:val="28"/>
          <w:szCs w:val="28"/>
          <w:highlight w:val="none"/>
          <w:lang w:val="zh-CN"/>
        </w:rPr>
        <w:t>第十章</w:t>
      </w:r>
      <w:r>
        <w:rPr>
          <w:rFonts w:ascii="宋体" w:hAnsi="宋体" w:cs="宋体"/>
          <w:b/>
          <w:color w:val="auto"/>
          <w:sz w:val="28"/>
          <w:szCs w:val="28"/>
          <w:highlight w:val="none"/>
          <w:lang w:val="zh-CN"/>
        </w:rPr>
        <w:t xml:space="preserve"> </w:t>
      </w:r>
      <w:r>
        <w:rPr>
          <w:rFonts w:hint="eastAsia" w:ascii="宋体" w:hAnsi="宋体" w:cs="宋体"/>
          <w:b/>
          <w:color w:val="auto"/>
          <w:sz w:val="28"/>
          <w:szCs w:val="28"/>
          <w:highlight w:val="none"/>
          <w:lang w:val="zh-CN"/>
        </w:rPr>
        <w:t>消防</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_Toc25192 \h </w:instrText>
      </w:r>
      <w:r>
        <w:rPr>
          <w:b/>
          <w:color w:val="auto"/>
          <w:sz w:val="28"/>
          <w:szCs w:val="28"/>
          <w:highlight w:val="none"/>
        </w:rPr>
        <w:fldChar w:fldCharType="separate"/>
      </w:r>
      <w:r>
        <w:rPr>
          <w:b/>
          <w:color w:val="auto"/>
          <w:sz w:val="28"/>
          <w:szCs w:val="28"/>
          <w:highlight w:val="none"/>
        </w:rPr>
        <w:t>46</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"_Toc22967" </w:instrText>
      </w:r>
      <w:r>
        <w:rPr>
          <w:color w:val="auto"/>
          <w:highlight w:val="none"/>
        </w:rPr>
        <w:fldChar w:fldCharType="separate"/>
      </w:r>
      <w:r>
        <w:rPr>
          <w:rFonts w:ascii="宋体" w:hAnsi="宋体" w:cs="宋体"/>
          <w:color w:val="auto"/>
          <w:sz w:val="28"/>
          <w:szCs w:val="28"/>
          <w:highlight w:val="none"/>
          <w:lang w:val="zh-CN"/>
        </w:rPr>
        <w:t xml:space="preserve">10.1 </w:t>
      </w:r>
      <w:r>
        <w:rPr>
          <w:rFonts w:hint="eastAsia" w:ascii="宋体" w:hAnsi="宋体" w:cs="宋体"/>
          <w:color w:val="auto"/>
          <w:sz w:val="28"/>
          <w:szCs w:val="28"/>
          <w:highlight w:val="none"/>
          <w:lang w:val="zh-CN"/>
        </w:rPr>
        <w:t>消防体制和贯彻方针</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_Toc22967 \h </w:instrText>
      </w:r>
      <w:r>
        <w:rPr>
          <w:color w:val="auto"/>
          <w:sz w:val="28"/>
          <w:szCs w:val="28"/>
          <w:highlight w:val="none"/>
        </w:rPr>
        <w:fldChar w:fldCharType="separate"/>
      </w:r>
      <w:r>
        <w:rPr>
          <w:color w:val="auto"/>
          <w:sz w:val="28"/>
          <w:szCs w:val="28"/>
          <w:highlight w:val="none"/>
        </w:rPr>
        <w:t>46</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"_Toc6117" </w:instrText>
      </w:r>
      <w:r>
        <w:rPr>
          <w:color w:val="auto"/>
          <w:highlight w:val="none"/>
        </w:rPr>
        <w:fldChar w:fldCharType="separate"/>
      </w:r>
      <w:r>
        <w:rPr>
          <w:rFonts w:ascii="宋体" w:hAnsi="宋体" w:cs="宋体"/>
          <w:color w:val="auto"/>
          <w:sz w:val="28"/>
          <w:szCs w:val="28"/>
          <w:highlight w:val="none"/>
          <w:lang w:val="zh-CN"/>
        </w:rPr>
        <w:t xml:space="preserve">10.2 </w:t>
      </w:r>
      <w:r>
        <w:rPr>
          <w:rFonts w:hint="eastAsia" w:ascii="宋体" w:hAnsi="宋体" w:cs="宋体"/>
          <w:color w:val="auto"/>
          <w:sz w:val="28"/>
          <w:szCs w:val="28"/>
          <w:highlight w:val="none"/>
          <w:lang w:val="zh-CN"/>
        </w:rPr>
        <w:t>编制依据</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_Toc6117 \h </w:instrText>
      </w:r>
      <w:r>
        <w:rPr>
          <w:color w:val="auto"/>
          <w:sz w:val="28"/>
          <w:szCs w:val="28"/>
          <w:highlight w:val="none"/>
        </w:rPr>
        <w:fldChar w:fldCharType="separate"/>
      </w:r>
      <w:r>
        <w:rPr>
          <w:color w:val="auto"/>
          <w:sz w:val="28"/>
          <w:szCs w:val="28"/>
          <w:highlight w:val="none"/>
        </w:rPr>
        <w:t>46</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"_Toc29591" </w:instrText>
      </w:r>
      <w:r>
        <w:rPr>
          <w:color w:val="auto"/>
          <w:highlight w:val="none"/>
        </w:rPr>
        <w:fldChar w:fldCharType="separate"/>
      </w:r>
      <w:r>
        <w:rPr>
          <w:rFonts w:ascii="宋体" w:hAnsi="宋体" w:cs="宋体"/>
          <w:color w:val="auto"/>
          <w:sz w:val="28"/>
          <w:szCs w:val="28"/>
          <w:highlight w:val="none"/>
          <w:lang w:val="zh-CN"/>
        </w:rPr>
        <w:t xml:space="preserve">10.3 </w:t>
      </w:r>
      <w:r>
        <w:rPr>
          <w:rFonts w:hint="eastAsia" w:ascii="宋体" w:hAnsi="宋体" w:cs="宋体"/>
          <w:color w:val="auto"/>
          <w:sz w:val="28"/>
          <w:szCs w:val="28"/>
          <w:highlight w:val="none"/>
          <w:lang w:val="zh-CN"/>
        </w:rPr>
        <w:t>工程的火灾危险性类别</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_Toc29591 \h </w:instrText>
      </w:r>
      <w:r>
        <w:rPr>
          <w:color w:val="auto"/>
          <w:sz w:val="28"/>
          <w:szCs w:val="28"/>
          <w:highlight w:val="none"/>
        </w:rPr>
        <w:fldChar w:fldCharType="separate"/>
      </w:r>
      <w:r>
        <w:rPr>
          <w:color w:val="auto"/>
          <w:sz w:val="28"/>
          <w:szCs w:val="28"/>
          <w:highlight w:val="none"/>
        </w:rPr>
        <w:t>46</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"_Toc27503" </w:instrText>
      </w:r>
      <w:r>
        <w:rPr>
          <w:color w:val="auto"/>
          <w:highlight w:val="none"/>
        </w:rPr>
        <w:fldChar w:fldCharType="separate"/>
      </w:r>
      <w:r>
        <w:rPr>
          <w:rFonts w:ascii="宋体" w:hAnsi="宋体" w:cs="宋体"/>
          <w:color w:val="auto"/>
          <w:sz w:val="28"/>
          <w:szCs w:val="28"/>
          <w:highlight w:val="none"/>
          <w:lang w:val="zh-CN"/>
        </w:rPr>
        <w:t xml:space="preserve">10.4 </w:t>
      </w:r>
      <w:r>
        <w:rPr>
          <w:rFonts w:hint="eastAsia" w:ascii="宋体" w:hAnsi="宋体" w:cs="宋体"/>
          <w:color w:val="auto"/>
          <w:sz w:val="28"/>
          <w:szCs w:val="28"/>
          <w:highlight w:val="none"/>
          <w:lang w:val="zh-CN"/>
        </w:rPr>
        <w:t>厂区消防现状</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_Toc27503 \h </w:instrText>
      </w:r>
      <w:r>
        <w:rPr>
          <w:color w:val="auto"/>
          <w:sz w:val="28"/>
          <w:szCs w:val="28"/>
          <w:highlight w:val="none"/>
        </w:rPr>
        <w:fldChar w:fldCharType="separate"/>
      </w:r>
      <w:r>
        <w:rPr>
          <w:color w:val="auto"/>
          <w:sz w:val="28"/>
          <w:szCs w:val="28"/>
          <w:highlight w:val="none"/>
        </w:rPr>
        <w:t>47</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"_Toc26964" </w:instrText>
      </w:r>
      <w:r>
        <w:rPr>
          <w:color w:val="auto"/>
          <w:highlight w:val="none"/>
        </w:rPr>
        <w:fldChar w:fldCharType="separate"/>
      </w:r>
      <w:r>
        <w:rPr>
          <w:rFonts w:ascii="宋体" w:hAnsi="宋体" w:cs="宋体"/>
          <w:color w:val="auto"/>
          <w:sz w:val="28"/>
          <w:szCs w:val="28"/>
          <w:highlight w:val="none"/>
          <w:lang w:val="zh-CN"/>
        </w:rPr>
        <w:t>10.5</w:t>
      </w:r>
      <w:r>
        <w:rPr>
          <w:rFonts w:hint="eastAsia" w:ascii="宋体" w:hAnsi="宋体" w:cs="宋体"/>
          <w:color w:val="auto"/>
          <w:sz w:val="28"/>
          <w:szCs w:val="28"/>
          <w:highlight w:val="none"/>
          <w:lang w:val="zh-CN"/>
        </w:rPr>
        <w:t>采用的防火措施及配置的消防系统</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_Toc26964 \h </w:instrText>
      </w:r>
      <w:r>
        <w:rPr>
          <w:color w:val="auto"/>
          <w:sz w:val="28"/>
          <w:szCs w:val="28"/>
          <w:highlight w:val="none"/>
        </w:rPr>
        <w:fldChar w:fldCharType="separate"/>
      </w:r>
      <w:r>
        <w:rPr>
          <w:color w:val="auto"/>
          <w:sz w:val="28"/>
          <w:szCs w:val="28"/>
          <w:highlight w:val="none"/>
        </w:rPr>
        <w:t>47</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"_Toc27855" </w:instrText>
      </w:r>
      <w:r>
        <w:rPr>
          <w:color w:val="auto"/>
          <w:highlight w:val="none"/>
        </w:rPr>
        <w:fldChar w:fldCharType="separate"/>
      </w:r>
      <w:r>
        <w:rPr>
          <w:rFonts w:ascii="宋体" w:hAnsi="宋体" w:cs="宋体"/>
          <w:color w:val="auto"/>
          <w:sz w:val="28"/>
          <w:szCs w:val="28"/>
          <w:highlight w:val="none"/>
          <w:lang w:val="zh-CN"/>
        </w:rPr>
        <w:t xml:space="preserve">10.6 </w:t>
      </w:r>
      <w:r>
        <w:rPr>
          <w:rFonts w:hint="eastAsia" w:ascii="宋体" w:hAnsi="宋体" w:cs="宋体"/>
          <w:color w:val="auto"/>
          <w:sz w:val="28"/>
          <w:szCs w:val="28"/>
          <w:highlight w:val="none"/>
          <w:lang w:val="zh-CN"/>
        </w:rPr>
        <w:t>安全可靠性</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_Toc27855 \h </w:instrText>
      </w:r>
      <w:r>
        <w:rPr>
          <w:color w:val="auto"/>
          <w:sz w:val="28"/>
          <w:szCs w:val="28"/>
          <w:highlight w:val="none"/>
        </w:rPr>
        <w:fldChar w:fldCharType="separate"/>
      </w:r>
      <w:r>
        <w:rPr>
          <w:color w:val="auto"/>
          <w:sz w:val="28"/>
          <w:szCs w:val="28"/>
          <w:highlight w:val="none"/>
        </w:rPr>
        <w:t>48</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"_Toc22953" </w:instrText>
      </w:r>
      <w:r>
        <w:rPr>
          <w:color w:val="auto"/>
          <w:highlight w:val="none"/>
        </w:rPr>
        <w:fldChar w:fldCharType="separate"/>
      </w:r>
      <w:r>
        <w:rPr>
          <w:rFonts w:hint="eastAsia" w:ascii="宋体" w:hAnsi="宋体" w:cs="宋体"/>
          <w:b/>
          <w:color w:val="auto"/>
          <w:sz w:val="28"/>
          <w:szCs w:val="28"/>
          <w:highlight w:val="none"/>
        </w:rPr>
        <w:t>第十一章</w:t>
      </w:r>
      <w:r>
        <w:rPr>
          <w:rFonts w:ascii="宋体" w:hAnsi="宋体" w:cs="宋体"/>
          <w:b/>
          <w:color w:val="auto"/>
          <w:sz w:val="28"/>
          <w:szCs w:val="28"/>
          <w:highlight w:val="none"/>
        </w:rPr>
        <w:t xml:space="preserve"> </w:t>
      </w:r>
      <w:r>
        <w:rPr>
          <w:rFonts w:hint="eastAsia" w:ascii="宋体" w:hAnsi="宋体" w:cs="宋体"/>
          <w:b/>
          <w:color w:val="auto"/>
          <w:sz w:val="28"/>
          <w:szCs w:val="28"/>
          <w:highlight w:val="none"/>
        </w:rPr>
        <w:t>环境保护</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_Toc22953 \h </w:instrText>
      </w:r>
      <w:r>
        <w:rPr>
          <w:b/>
          <w:color w:val="auto"/>
          <w:sz w:val="28"/>
          <w:szCs w:val="28"/>
          <w:highlight w:val="none"/>
        </w:rPr>
        <w:fldChar w:fldCharType="separate"/>
      </w:r>
      <w:r>
        <w:rPr>
          <w:b/>
          <w:color w:val="auto"/>
          <w:sz w:val="28"/>
          <w:szCs w:val="28"/>
          <w:highlight w:val="none"/>
        </w:rPr>
        <w:t>50</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"_Toc8312" </w:instrText>
      </w:r>
      <w:r>
        <w:rPr>
          <w:color w:val="auto"/>
          <w:highlight w:val="none"/>
        </w:rPr>
        <w:fldChar w:fldCharType="separate"/>
      </w:r>
      <w:r>
        <w:rPr>
          <w:rFonts w:ascii="宋体" w:hAnsi="宋体" w:cs="宋体"/>
          <w:bCs/>
          <w:color w:val="auto"/>
          <w:sz w:val="28"/>
          <w:szCs w:val="28"/>
          <w:highlight w:val="none"/>
        </w:rPr>
        <w:t>11.1</w:t>
      </w:r>
      <w:r>
        <w:rPr>
          <w:rFonts w:hint="eastAsia" w:ascii="宋体" w:hAnsi="宋体" w:cs="宋体"/>
          <w:bCs/>
          <w:color w:val="auto"/>
          <w:sz w:val="28"/>
          <w:szCs w:val="28"/>
          <w:highlight w:val="none"/>
        </w:rPr>
        <w:t>环境质量现状</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_Toc8312 \h </w:instrText>
      </w:r>
      <w:r>
        <w:rPr>
          <w:color w:val="auto"/>
          <w:sz w:val="28"/>
          <w:szCs w:val="28"/>
          <w:highlight w:val="none"/>
        </w:rPr>
        <w:fldChar w:fldCharType="separate"/>
      </w:r>
      <w:r>
        <w:rPr>
          <w:color w:val="auto"/>
          <w:sz w:val="28"/>
          <w:szCs w:val="28"/>
          <w:highlight w:val="none"/>
        </w:rPr>
        <w:t>50</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"_Toc26660" </w:instrText>
      </w:r>
      <w:r>
        <w:rPr>
          <w:color w:val="auto"/>
          <w:highlight w:val="none"/>
        </w:rPr>
        <w:fldChar w:fldCharType="separate"/>
      </w:r>
      <w:r>
        <w:rPr>
          <w:rFonts w:ascii="宋体" w:hAnsi="宋体" w:cs="宋体"/>
          <w:color w:val="auto"/>
          <w:kern w:val="2"/>
          <w:sz w:val="28"/>
          <w:szCs w:val="28"/>
          <w:highlight w:val="none"/>
          <w:lang w:val="zh-CN"/>
        </w:rPr>
        <w:t>11.2</w:t>
      </w:r>
      <w:r>
        <w:rPr>
          <w:rFonts w:hint="eastAsia" w:ascii="宋体" w:hAnsi="宋体" w:cs="宋体"/>
          <w:color w:val="auto"/>
          <w:kern w:val="2"/>
          <w:sz w:val="28"/>
          <w:szCs w:val="28"/>
          <w:highlight w:val="none"/>
          <w:lang w:val="zh-CN"/>
        </w:rPr>
        <w:t>执行的有关环境保护法律、法规和标准</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_Toc26660 \h </w:instrText>
      </w:r>
      <w:r>
        <w:rPr>
          <w:color w:val="auto"/>
          <w:sz w:val="28"/>
          <w:szCs w:val="28"/>
          <w:highlight w:val="none"/>
        </w:rPr>
        <w:fldChar w:fldCharType="separate"/>
      </w:r>
      <w:r>
        <w:rPr>
          <w:color w:val="auto"/>
          <w:sz w:val="28"/>
          <w:szCs w:val="28"/>
          <w:highlight w:val="none"/>
        </w:rPr>
        <w:t>50</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"_Toc23431" </w:instrText>
      </w:r>
      <w:r>
        <w:rPr>
          <w:color w:val="auto"/>
          <w:highlight w:val="none"/>
        </w:rPr>
        <w:fldChar w:fldCharType="separate"/>
      </w:r>
      <w:r>
        <w:rPr>
          <w:rFonts w:ascii="宋体" w:hAnsi="宋体" w:cs="宋体"/>
          <w:color w:val="auto"/>
          <w:kern w:val="2"/>
          <w:sz w:val="28"/>
          <w:szCs w:val="28"/>
          <w:highlight w:val="none"/>
        </w:rPr>
        <w:t>11.3</w:t>
      </w:r>
      <w:r>
        <w:rPr>
          <w:rFonts w:hint="eastAsia" w:ascii="宋体" w:hAnsi="宋体" w:cs="宋体"/>
          <w:color w:val="auto"/>
          <w:kern w:val="2"/>
          <w:sz w:val="28"/>
          <w:szCs w:val="28"/>
          <w:highlight w:val="none"/>
        </w:rPr>
        <w:t>建设项目的主要污染源及污染物处理</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_Toc23431 \h </w:instrText>
      </w:r>
      <w:r>
        <w:rPr>
          <w:color w:val="auto"/>
          <w:sz w:val="28"/>
          <w:szCs w:val="28"/>
          <w:highlight w:val="none"/>
        </w:rPr>
        <w:fldChar w:fldCharType="separate"/>
      </w:r>
      <w:r>
        <w:rPr>
          <w:color w:val="auto"/>
          <w:sz w:val="28"/>
          <w:szCs w:val="28"/>
          <w:highlight w:val="none"/>
        </w:rPr>
        <w:t>51</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"_Toc1559" </w:instrText>
      </w:r>
      <w:r>
        <w:rPr>
          <w:color w:val="auto"/>
          <w:highlight w:val="none"/>
        </w:rPr>
        <w:fldChar w:fldCharType="separate"/>
      </w:r>
      <w:r>
        <w:rPr>
          <w:rFonts w:ascii="宋体" w:hAnsi="宋体" w:cs="宋体"/>
          <w:bCs/>
          <w:color w:val="auto"/>
          <w:sz w:val="28"/>
          <w:szCs w:val="28"/>
          <w:highlight w:val="none"/>
        </w:rPr>
        <w:t>11.4</w:t>
      </w:r>
      <w:r>
        <w:rPr>
          <w:rFonts w:hint="eastAsia" w:ascii="宋体" w:hAnsi="宋体" w:cs="宋体"/>
          <w:bCs/>
          <w:color w:val="auto"/>
          <w:sz w:val="28"/>
          <w:szCs w:val="28"/>
          <w:highlight w:val="none"/>
        </w:rPr>
        <w:t>环境保护治理措施</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_Toc1559 \h </w:instrText>
      </w:r>
      <w:r>
        <w:rPr>
          <w:color w:val="auto"/>
          <w:sz w:val="28"/>
          <w:szCs w:val="28"/>
          <w:highlight w:val="none"/>
        </w:rPr>
        <w:fldChar w:fldCharType="separate"/>
      </w:r>
      <w:r>
        <w:rPr>
          <w:color w:val="auto"/>
          <w:sz w:val="28"/>
          <w:szCs w:val="28"/>
          <w:highlight w:val="none"/>
        </w:rPr>
        <w:t>52</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"_Toc3184" </w:instrText>
      </w:r>
      <w:r>
        <w:rPr>
          <w:color w:val="auto"/>
          <w:highlight w:val="none"/>
        </w:rPr>
        <w:fldChar w:fldCharType="separate"/>
      </w:r>
      <w:r>
        <w:rPr>
          <w:rFonts w:ascii="宋体" w:hAnsi="宋体" w:cs="宋体"/>
          <w:bCs/>
          <w:color w:val="auto"/>
          <w:sz w:val="28"/>
          <w:szCs w:val="28"/>
          <w:highlight w:val="none"/>
        </w:rPr>
        <w:t xml:space="preserve">11.5 </w:t>
      </w:r>
      <w:r>
        <w:rPr>
          <w:rFonts w:hint="eastAsia" w:ascii="宋体" w:hAnsi="宋体" w:cs="宋体"/>
          <w:bCs/>
          <w:color w:val="auto"/>
          <w:sz w:val="28"/>
          <w:szCs w:val="28"/>
          <w:highlight w:val="none"/>
        </w:rPr>
        <w:t>环境影响分析</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_Toc3184 \h </w:instrText>
      </w:r>
      <w:r>
        <w:rPr>
          <w:color w:val="auto"/>
          <w:sz w:val="28"/>
          <w:szCs w:val="28"/>
          <w:highlight w:val="none"/>
        </w:rPr>
        <w:fldChar w:fldCharType="separate"/>
      </w:r>
      <w:r>
        <w:rPr>
          <w:color w:val="auto"/>
          <w:sz w:val="28"/>
          <w:szCs w:val="28"/>
          <w:highlight w:val="none"/>
        </w:rPr>
        <w:t>53</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"_Toc27319" </w:instrText>
      </w:r>
      <w:r>
        <w:rPr>
          <w:color w:val="auto"/>
          <w:highlight w:val="none"/>
        </w:rPr>
        <w:fldChar w:fldCharType="separate"/>
      </w:r>
      <w:r>
        <w:rPr>
          <w:rFonts w:hint="eastAsia" w:ascii="宋体" w:hAnsi="宋体" w:cs="宋体"/>
          <w:b/>
          <w:color w:val="auto"/>
          <w:sz w:val="28"/>
          <w:szCs w:val="28"/>
          <w:highlight w:val="none"/>
          <w:lang w:val="zh-CN"/>
        </w:rPr>
        <w:t>第十二章</w:t>
      </w:r>
      <w:r>
        <w:rPr>
          <w:rFonts w:ascii="宋体" w:hAnsi="宋体" w:cs="宋体"/>
          <w:b/>
          <w:color w:val="auto"/>
          <w:sz w:val="28"/>
          <w:szCs w:val="28"/>
          <w:highlight w:val="none"/>
          <w:lang w:val="zh-CN"/>
        </w:rPr>
        <w:t xml:space="preserve"> </w:t>
      </w:r>
      <w:r>
        <w:rPr>
          <w:rFonts w:hint="eastAsia" w:ascii="宋体" w:hAnsi="宋体" w:cs="宋体"/>
          <w:b/>
          <w:color w:val="auto"/>
          <w:sz w:val="28"/>
          <w:szCs w:val="28"/>
          <w:highlight w:val="none"/>
          <w:lang w:val="zh-CN"/>
        </w:rPr>
        <w:t>职业卫生及安全</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_Toc27319 \h </w:instrText>
      </w:r>
      <w:r>
        <w:rPr>
          <w:b/>
          <w:color w:val="auto"/>
          <w:sz w:val="28"/>
          <w:szCs w:val="28"/>
          <w:highlight w:val="none"/>
        </w:rPr>
        <w:fldChar w:fldCharType="separate"/>
      </w:r>
      <w:r>
        <w:rPr>
          <w:b/>
          <w:color w:val="auto"/>
          <w:sz w:val="28"/>
          <w:szCs w:val="28"/>
          <w:highlight w:val="none"/>
        </w:rPr>
        <w:t>54</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"_Toc12701" </w:instrText>
      </w:r>
      <w:r>
        <w:rPr>
          <w:color w:val="auto"/>
          <w:highlight w:val="none"/>
        </w:rPr>
        <w:fldChar w:fldCharType="separate"/>
      </w:r>
      <w:r>
        <w:rPr>
          <w:rFonts w:ascii="宋体" w:hAnsi="宋体" w:cs="宋体"/>
          <w:color w:val="auto"/>
          <w:sz w:val="28"/>
          <w:szCs w:val="28"/>
          <w:highlight w:val="none"/>
        </w:rPr>
        <w:t xml:space="preserve">12.1 </w:t>
      </w:r>
      <w:r>
        <w:rPr>
          <w:rFonts w:hint="eastAsia" w:ascii="宋体" w:hAnsi="宋体" w:cs="宋体"/>
          <w:color w:val="auto"/>
          <w:sz w:val="28"/>
          <w:szCs w:val="28"/>
          <w:highlight w:val="none"/>
        </w:rPr>
        <w:t>执行的法律法规、部门规章及标准规范</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_Toc12701 \h </w:instrText>
      </w:r>
      <w:r>
        <w:rPr>
          <w:color w:val="auto"/>
          <w:sz w:val="28"/>
          <w:szCs w:val="28"/>
          <w:highlight w:val="none"/>
        </w:rPr>
        <w:fldChar w:fldCharType="separate"/>
      </w:r>
      <w:r>
        <w:rPr>
          <w:color w:val="auto"/>
          <w:sz w:val="28"/>
          <w:szCs w:val="28"/>
          <w:highlight w:val="none"/>
        </w:rPr>
        <w:t>54</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"_Toc22185" </w:instrText>
      </w:r>
      <w:r>
        <w:rPr>
          <w:color w:val="auto"/>
          <w:highlight w:val="none"/>
        </w:rPr>
        <w:fldChar w:fldCharType="separate"/>
      </w:r>
      <w:r>
        <w:rPr>
          <w:rFonts w:ascii="宋体" w:hAnsi="宋体" w:cs="宋体"/>
          <w:color w:val="auto"/>
          <w:sz w:val="28"/>
          <w:szCs w:val="28"/>
          <w:highlight w:val="none"/>
          <w:lang w:val="zh-CN"/>
        </w:rPr>
        <w:t xml:space="preserve">12.2 </w:t>
      </w:r>
      <w:r>
        <w:rPr>
          <w:rFonts w:hint="eastAsia" w:ascii="宋体" w:hAnsi="宋体" w:cs="宋体"/>
          <w:color w:val="auto"/>
          <w:sz w:val="28"/>
          <w:szCs w:val="28"/>
          <w:highlight w:val="none"/>
        </w:rPr>
        <w:t>项目</w:t>
      </w:r>
      <w:r>
        <w:rPr>
          <w:rFonts w:hint="eastAsia" w:ascii="宋体" w:hAnsi="宋体" w:cs="宋体"/>
          <w:color w:val="auto"/>
          <w:sz w:val="28"/>
          <w:szCs w:val="28"/>
          <w:highlight w:val="none"/>
          <w:lang w:val="zh-CN"/>
        </w:rPr>
        <w:t>地区的主要自然灾害及防护措施</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_Toc22185 \h </w:instrText>
      </w:r>
      <w:r>
        <w:rPr>
          <w:color w:val="auto"/>
          <w:sz w:val="28"/>
          <w:szCs w:val="28"/>
          <w:highlight w:val="none"/>
        </w:rPr>
        <w:fldChar w:fldCharType="separate"/>
      </w:r>
      <w:r>
        <w:rPr>
          <w:color w:val="auto"/>
          <w:sz w:val="28"/>
          <w:szCs w:val="28"/>
          <w:highlight w:val="none"/>
        </w:rPr>
        <w:t>55</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"_Toc23929" </w:instrText>
      </w:r>
      <w:r>
        <w:rPr>
          <w:color w:val="auto"/>
          <w:highlight w:val="none"/>
        </w:rPr>
        <w:fldChar w:fldCharType="separate"/>
      </w:r>
      <w:r>
        <w:rPr>
          <w:rFonts w:ascii="宋体" w:hAnsi="宋体" w:cs="宋体"/>
          <w:color w:val="auto"/>
          <w:sz w:val="28"/>
          <w:szCs w:val="28"/>
          <w:highlight w:val="none"/>
        </w:rPr>
        <w:t xml:space="preserve">12.3 </w:t>
      </w:r>
      <w:r>
        <w:rPr>
          <w:rFonts w:hint="eastAsia" w:ascii="宋体" w:hAnsi="宋体" w:cs="宋体"/>
          <w:color w:val="auto"/>
          <w:sz w:val="28"/>
          <w:szCs w:val="28"/>
          <w:highlight w:val="none"/>
        </w:rPr>
        <w:t>生产过程中危险有害因素和职业病分析</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_Toc23929 \h </w:instrText>
      </w:r>
      <w:r>
        <w:rPr>
          <w:color w:val="auto"/>
          <w:sz w:val="28"/>
          <w:szCs w:val="28"/>
          <w:highlight w:val="none"/>
        </w:rPr>
        <w:fldChar w:fldCharType="separate"/>
      </w:r>
      <w:r>
        <w:rPr>
          <w:color w:val="auto"/>
          <w:sz w:val="28"/>
          <w:szCs w:val="28"/>
          <w:highlight w:val="none"/>
        </w:rPr>
        <w:t>56</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"_Toc32161" </w:instrText>
      </w:r>
      <w:r>
        <w:rPr>
          <w:color w:val="auto"/>
          <w:highlight w:val="none"/>
        </w:rPr>
        <w:fldChar w:fldCharType="separate"/>
      </w:r>
      <w:r>
        <w:rPr>
          <w:rFonts w:ascii="宋体" w:hAnsi="宋体" w:cs="宋体"/>
          <w:color w:val="auto"/>
          <w:sz w:val="28"/>
          <w:szCs w:val="28"/>
          <w:highlight w:val="none"/>
        </w:rPr>
        <w:t xml:space="preserve">12.4 </w:t>
      </w:r>
      <w:r>
        <w:rPr>
          <w:rFonts w:hint="eastAsia" w:ascii="宋体" w:hAnsi="宋体" w:cs="宋体"/>
          <w:color w:val="auto"/>
          <w:sz w:val="28"/>
          <w:szCs w:val="28"/>
          <w:highlight w:val="none"/>
        </w:rPr>
        <w:t>劳动安全卫生主要措施</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_Toc32161 \h </w:instrText>
      </w:r>
      <w:r>
        <w:rPr>
          <w:color w:val="auto"/>
          <w:sz w:val="28"/>
          <w:szCs w:val="28"/>
          <w:highlight w:val="none"/>
        </w:rPr>
        <w:fldChar w:fldCharType="separate"/>
      </w:r>
      <w:r>
        <w:rPr>
          <w:color w:val="auto"/>
          <w:sz w:val="28"/>
          <w:szCs w:val="28"/>
          <w:highlight w:val="none"/>
        </w:rPr>
        <w:t>58</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"_Toc31761" </w:instrText>
      </w:r>
      <w:r>
        <w:rPr>
          <w:color w:val="auto"/>
          <w:highlight w:val="none"/>
        </w:rPr>
        <w:fldChar w:fldCharType="separate"/>
      </w:r>
      <w:r>
        <w:rPr>
          <w:rFonts w:ascii="宋体" w:hAnsi="宋体" w:cs="宋体"/>
          <w:color w:val="auto"/>
          <w:sz w:val="28"/>
          <w:szCs w:val="28"/>
          <w:highlight w:val="none"/>
        </w:rPr>
        <w:t xml:space="preserve">12.5 </w:t>
      </w:r>
      <w:r>
        <w:rPr>
          <w:rFonts w:hint="eastAsia" w:ascii="宋体" w:hAnsi="宋体" w:cs="宋体"/>
          <w:color w:val="auto"/>
          <w:sz w:val="28"/>
          <w:szCs w:val="28"/>
          <w:highlight w:val="none"/>
        </w:rPr>
        <w:t>职业卫生管理机构</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_Toc31761 \h </w:instrText>
      </w:r>
      <w:r>
        <w:rPr>
          <w:color w:val="auto"/>
          <w:sz w:val="28"/>
          <w:szCs w:val="28"/>
          <w:highlight w:val="none"/>
        </w:rPr>
        <w:fldChar w:fldCharType="separate"/>
      </w:r>
      <w:r>
        <w:rPr>
          <w:color w:val="auto"/>
          <w:sz w:val="28"/>
          <w:szCs w:val="28"/>
          <w:highlight w:val="none"/>
        </w:rPr>
        <w:t>61</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"_Toc11766" </w:instrText>
      </w:r>
      <w:r>
        <w:rPr>
          <w:color w:val="auto"/>
          <w:highlight w:val="none"/>
        </w:rPr>
        <w:fldChar w:fldCharType="separate"/>
      </w:r>
      <w:r>
        <w:rPr>
          <w:rFonts w:ascii="宋体" w:hAnsi="宋体" w:cs="宋体"/>
          <w:color w:val="auto"/>
          <w:sz w:val="28"/>
          <w:szCs w:val="28"/>
          <w:highlight w:val="none"/>
        </w:rPr>
        <w:t xml:space="preserve">12.6 </w:t>
      </w:r>
      <w:r>
        <w:rPr>
          <w:rFonts w:hint="eastAsia" w:ascii="宋体" w:hAnsi="宋体" w:cs="宋体"/>
          <w:color w:val="auto"/>
          <w:sz w:val="28"/>
          <w:szCs w:val="28"/>
          <w:highlight w:val="none"/>
        </w:rPr>
        <w:t>预期效果及建议</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_Toc11766 \h </w:instrText>
      </w:r>
      <w:r>
        <w:rPr>
          <w:color w:val="auto"/>
          <w:sz w:val="28"/>
          <w:szCs w:val="28"/>
          <w:highlight w:val="none"/>
        </w:rPr>
        <w:fldChar w:fldCharType="separate"/>
      </w:r>
      <w:r>
        <w:rPr>
          <w:color w:val="auto"/>
          <w:sz w:val="28"/>
          <w:szCs w:val="28"/>
          <w:highlight w:val="none"/>
        </w:rPr>
        <w:t>61</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"_Toc29406" </w:instrText>
      </w:r>
      <w:r>
        <w:rPr>
          <w:color w:val="auto"/>
          <w:highlight w:val="none"/>
        </w:rPr>
        <w:fldChar w:fldCharType="separate"/>
      </w:r>
      <w:r>
        <w:rPr>
          <w:rFonts w:hint="eastAsia"/>
          <w:b/>
          <w:color w:val="auto"/>
          <w:sz w:val="28"/>
          <w:szCs w:val="28"/>
          <w:highlight w:val="none"/>
          <w:lang w:val="zh-CN"/>
        </w:rPr>
        <w:t>第十三章</w:t>
      </w:r>
      <w:r>
        <w:rPr>
          <w:b/>
          <w:color w:val="auto"/>
          <w:sz w:val="28"/>
          <w:szCs w:val="28"/>
          <w:highlight w:val="none"/>
          <w:lang w:val="zh-CN"/>
        </w:rPr>
        <w:t xml:space="preserve"> </w:t>
      </w:r>
      <w:r>
        <w:rPr>
          <w:rFonts w:hint="eastAsia"/>
          <w:b/>
          <w:color w:val="auto"/>
          <w:sz w:val="28"/>
          <w:szCs w:val="28"/>
          <w:highlight w:val="none"/>
          <w:lang w:val="zh-CN"/>
        </w:rPr>
        <w:t>组织机构与人力资源配置</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_Toc29406 \h </w:instrText>
      </w:r>
      <w:r>
        <w:rPr>
          <w:b/>
          <w:color w:val="auto"/>
          <w:sz w:val="28"/>
          <w:szCs w:val="28"/>
          <w:highlight w:val="none"/>
        </w:rPr>
        <w:fldChar w:fldCharType="separate"/>
      </w:r>
      <w:r>
        <w:rPr>
          <w:b/>
          <w:color w:val="auto"/>
          <w:sz w:val="28"/>
          <w:szCs w:val="28"/>
          <w:highlight w:val="none"/>
        </w:rPr>
        <w:t>62</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"_Toc11727" </w:instrText>
      </w:r>
      <w:r>
        <w:rPr>
          <w:color w:val="auto"/>
          <w:highlight w:val="none"/>
        </w:rPr>
        <w:fldChar w:fldCharType="separate"/>
      </w:r>
      <w:r>
        <w:rPr>
          <w:rFonts w:ascii="宋体" w:hAnsi="宋体" w:cs="宋体"/>
          <w:color w:val="auto"/>
          <w:sz w:val="28"/>
          <w:szCs w:val="28"/>
          <w:highlight w:val="none"/>
          <w:lang w:val="en-GB"/>
        </w:rPr>
        <w:t>13.1</w:t>
      </w:r>
      <w:r>
        <w:rPr>
          <w:rFonts w:hint="eastAsia" w:ascii="宋体" w:hAnsi="宋体" w:cs="宋体"/>
          <w:color w:val="auto"/>
          <w:sz w:val="28"/>
          <w:szCs w:val="28"/>
          <w:highlight w:val="none"/>
          <w:lang w:val="en-GB"/>
        </w:rPr>
        <w:t>企业管理体制及组织机构设置</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_Toc11727 \h </w:instrText>
      </w:r>
      <w:r>
        <w:rPr>
          <w:color w:val="auto"/>
          <w:sz w:val="28"/>
          <w:szCs w:val="28"/>
          <w:highlight w:val="none"/>
        </w:rPr>
        <w:fldChar w:fldCharType="separate"/>
      </w:r>
      <w:r>
        <w:rPr>
          <w:color w:val="auto"/>
          <w:sz w:val="28"/>
          <w:szCs w:val="28"/>
          <w:highlight w:val="none"/>
        </w:rPr>
        <w:t>62</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"_Toc17117" </w:instrText>
      </w:r>
      <w:r>
        <w:rPr>
          <w:color w:val="auto"/>
          <w:highlight w:val="none"/>
        </w:rPr>
        <w:fldChar w:fldCharType="separate"/>
      </w:r>
      <w:r>
        <w:rPr>
          <w:rFonts w:ascii="宋体" w:hAnsi="宋体" w:cs="宋体"/>
          <w:bCs/>
          <w:color w:val="auto"/>
          <w:sz w:val="28"/>
          <w:szCs w:val="28"/>
          <w:highlight w:val="none"/>
          <w:lang w:val="en-GB"/>
        </w:rPr>
        <w:t>13.2</w:t>
      </w:r>
      <w:r>
        <w:rPr>
          <w:rFonts w:hint="eastAsia" w:ascii="宋体" w:hAnsi="宋体" w:cs="宋体"/>
          <w:bCs/>
          <w:color w:val="auto"/>
          <w:sz w:val="28"/>
          <w:szCs w:val="28"/>
          <w:highlight w:val="none"/>
          <w:lang w:val="en-GB"/>
        </w:rPr>
        <w:t>生产班制与人力资源配置</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_Toc17117 \h </w:instrText>
      </w:r>
      <w:r>
        <w:rPr>
          <w:color w:val="auto"/>
          <w:sz w:val="28"/>
          <w:szCs w:val="28"/>
          <w:highlight w:val="none"/>
        </w:rPr>
        <w:fldChar w:fldCharType="separate"/>
      </w:r>
      <w:r>
        <w:rPr>
          <w:color w:val="auto"/>
          <w:sz w:val="28"/>
          <w:szCs w:val="28"/>
          <w:highlight w:val="none"/>
        </w:rPr>
        <w:t>62</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"_Toc25617" </w:instrText>
      </w:r>
      <w:r>
        <w:rPr>
          <w:color w:val="auto"/>
          <w:highlight w:val="none"/>
        </w:rPr>
        <w:fldChar w:fldCharType="separate"/>
      </w:r>
      <w:r>
        <w:rPr>
          <w:rFonts w:ascii="宋体" w:hAnsi="宋体" w:cs="宋体"/>
          <w:color w:val="auto"/>
          <w:sz w:val="28"/>
          <w:szCs w:val="28"/>
          <w:highlight w:val="none"/>
        </w:rPr>
        <w:t>13.3</w:t>
      </w:r>
      <w:r>
        <w:rPr>
          <w:rFonts w:hint="eastAsia" w:ascii="宋体" w:hAnsi="宋体" w:cs="宋体"/>
          <w:color w:val="auto"/>
          <w:sz w:val="28"/>
          <w:szCs w:val="28"/>
          <w:highlight w:val="none"/>
        </w:rPr>
        <w:t>人员培训</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_Toc25617 \h </w:instrText>
      </w:r>
      <w:r>
        <w:rPr>
          <w:color w:val="auto"/>
          <w:sz w:val="28"/>
          <w:szCs w:val="28"/>
          <w:highlight w:val="none"/>
        </w:rPr>
        <w:fldChar w:fldCharType="separate"/>
      </w:r>
      <w:r>
        <w:rPr>
          <w:color w:val="auto"/>
          <w:sz w:val="28"/>
          <w:szCs w:val="28"/>
          <w:highlight w:val="none"/>
        </w:rPr>
        <w:t>62</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"_Toc16573" </w:instrText>
      </w:r>
      <w:r>
        <w:rPr>
          <w:color w:val="auto"/>
          <w:highlight w:val="none"/>
        </w:rPr>
        <w:fldChar w:fldCharType="separate"/>
      </w:r>
      <w:r>
        <w:rPr>
          <w:rFonts w:hint="eastAsia"/>
          <w:b/>
          <w:color w:val="auto"/>
          <w:sz w:val="28"/>
          <w:szCs w:val="28"/>
          <w:highlight w:val="none"/>
          <w:lang w:val="zh-CN"/>
        </w:rPr>
        <w:t>第十</w:t>
      </w:r>
      <w:r>
        <w:rPr>
          <w:rFonts w:hint="eastAsia"/>
          <w:b/>
          <w:color w:val="auto"/>
          <w:sz w:val="28"/>
          <w:szCs w:val="28"/>
          <w:highlight w:val="none"/>
        </w:rPr>
        <w:t>四</w:t>
      </w:r>
      <w:r>
        <w:rPr>
          <w:rFonts w:hint="eastAsia"/>
          <w:b/>
          <w:color w:val="auto"/>
          <w:sz w:val="28"/>
          <w:szCs w:val="28"/>
          <w:highlight w:val="none"/>
          <w:lang w:val="zh-CN"/>
        </w:rPr>
        <w:t>章</w:t>
      </w:r>
      <w:r>
        <w:rPr>
          <w:b/>
          <w:color w:val="auto"/>
          <w:sz w:val="28"/>
          <w:szCs w:val="28"/>
          <w:highlight w:val="none"/>
          <w:lang w:val="zh-CN"/>
        </w:rPr>
        <w:t xml:space="preserve"> </w:t>
      </w:r>
      <w:r>
        <w:rPr>
          <w:rFonts w:hint="eastAsia"/>
          <w:b/>
          <w:color w:val="auto"/>
          <w:sz w:val="28"/>
          <w:szCs w:val="28"/>
          <w:highlight w:val="none"/>
          <w:lang w:val="zh-CN"/>
        </w:rPr>
        <w:t>项目实施计划</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_Toc16573 \h </w:instrText>
      </w:r>
      <w:r>
        <w:rPr>
          <w:b/>
          <w:color w:val="auto"/>
          <w:sz w:val="28"/>
          <w:szCs w:val="28"/>
          <w:highlight w:val="none"/>
        </w:rPr>
        <w:fldChar w:fldCharType="separate"/>
      </w:r>
      <w:r>
        <w:rPr>
          <w:b/>
          <w:color w:val="auto"/>
          <w:sz w:val="28"/>
          <w:szCs w:val="28"/>
          <w:highlight w:val="none"/>
        </w:rPr>
        <w:t>64</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"_Toc7020" </w:instrText>
      </w:r>
      <w:r>
        <w:rPr>
          <w:color w:val="auto"/>
          <w:highlight w:val="none"/>
        </w:rPr>
        <w:fldChar w:fldCharType="separate"/>
      </w:r>
      <w:r>
        <w:rPr>
          <w:color w:val="auto"/>
          <w:sz w:val="28"/>
          <w:szCs w:val="28"/>
          <w:highlight w:val="none"/>
        </w:rPr>
        <w:t>14.1</w:t>
      </w:r>
      <w:r>
        <w:rPr>
          <w:rFonts w:hint="eastAsia"/>
          <w:color w:val="auto"/>
          <w:sz w:val="28"/>
          <w:szCs w:val="28"/>
          <w:highlight w:val="none"/>
        </w:rPr>
        <w:t>项目的组织与管理</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_Toc7020 \h </w:instrText>
      </w:r>
      <w:r>
        <w:rPr>
          <w:color w:val="auto"/>
          <w:sz w:val="28"/>
          <w:szCs w:val="28"/>
          <w:highlight w:val="none"/>
        </w:rPr>
        <w:fldChar w:fldCharType="separate"/>
      </w:r>
      <w:r>
        <w:rPr>
          <w:color w:val="auto"/>
          <w:sz w:val="28"/>
          <w:szCs w:val="28"/>
          <w:highlight w:val="none"/>
        </w:rPr>
        <w:t>64</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"_Toc7020" </w:instrText>
      </w:r>
      <w:r>
        <w:rPr>
          <w:color w:val="auto"/>
          <w:highlight w:val="none"/>
        </w:rPr>
        <w:fldChar w:fldCharType="separate"/>
      </w:r>
      <w:r>
        <w:rPr>
          <w:color w:val="auto"/>
          <w:sz w:val="28"/>
          <w:szCs w:val="28"/>
          <w:highlight w:val="none"/>
        </w:rPr>
        <w:t>14.2</w:t>
      </w:r>
      <w:r>
        <w:rPr>
          <w:rFonts w:hint="eastAsia"/>
          <w:color w:val="auto"/>
          <w:sz w:val="28"/>
          <w:szCs w:val="28"/>
          <w:highlight w:val="none"/>
        </w:rPr>
        <w:t>实施进度计划</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_Toc7020 \h </w:instrText>
      </w:r>
      <w:r>
        <w:rPr>
          <w:color w:val="auto"/>
          <w:sz w:val="28"/>
          <w:szCs w:val="28"/>
          <w:highlight w:val="none"/>
        </w:rPr>
        <w:fldChar w:fldCharType="separate"/>
      </w:r>
      <w:r>
        <w:rPr>
          <w:color w:val="auto"/>
          <w:sz w:val="28"/>
          <w:szCs w:val="28"/>
          <w:highlight w:val="none"/>
        </w:rPr>
        <w:t>64</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"_Toc8186" </w:instrText>
      </w:r>
      <w:r>
        <w:rPr>
          <w:color w:val="auto"/>
          <w:highlight w:val="none"/>
        </w:rPr>
        <w:fldChar w:fldCharType="separate"/>
      </w:r>
      <w:r>
        <w:rPr>
          <w:rFonts w:hint="eastAsia"/>
          <w:b/>
          <w:color w:val="auto"/>
          <w:sz w:val="28"/>
          <w:szCs w:val="28"/>
          <w:highlight w:val="none"/>
          <w:lang w:val="zh-CN"/>
        </w:rPr>
        <w:t>第十五章</w:t>
      </w:r>
      <w:r>
        <w:rPr>
          <w:b/>
          <w:color w:val="auto"/>
          <w:sz w:val="28"/>
          <w:szCs w:val="28"/>
          <w:highlight w:val="none"/>
          <w:lang w:val="zh-CN"/>
        </w:rPr>
        <w:t xml:space="preserve"> </w:t>
      </w:r>
      <w:r>
        <w:rPr>
          <w:rFonts w:hint="eastAsia"/>
          <w:b/>
          <w:color w:val="auto"/>
          <w:sz w:val="28"/>
          <w:szCs w:val="28"/>
          <w:highlight w:val="none"/>
          <w:lang w:val="zh-CN"/>
        </w:rPr>
        <w:t>投资估算与资金筹措</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_Toc8186 \h </w:instrText>
      </w:r>
      <w:r>
        <w:rPr>
          <w:b/>
          <w:color w:val="auto"/>
          <w:sz w:val="28"/>
          <w:szCs w:val="28"/>
          <w:highlight w:val="none"/>
        </w:rPr>
        <w:fldChar w:fldCharType="separate"/>
      </w:r>
      <w:r>
        <w:rPr>
          <w:b/>
          <w:color w:val="auto"/>
          <w:sz w:val="28"/>
          <w:szCs w:val="28"/>
          <w:highlight w:val="none"/>
        </w:rPr>
        <w:t>66</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"_Toc9856" </w:instrText>
      </w:r>
      <w:r>
        <w:rPr>
          <w:color w:val="auto"/>
          <w:highlight w:val="none"/>
        </w:rPr>
        <w:fldChar w:fldCharType="separate"/>
      </w:r>
      <w:r>
        <w:rPr>
          <w:rFonts w:ascii="宋体" w:hAnsi="宋体" w:cs="宋体"/>
          <w:color w:val="auto"/>
          <w:sz w:val="28"/>
          <w:szCs w:val="28"/>
          <w:highlight w:val="none"/>
        </w:rPr>
        <w:t>15.1</w:t>
      </w:r>
      <w:r>
        <w:rPr>
          <w:rFonts w:hint="eastAsia" w:ascii="宋体" w:hAnsi="宋体" w:cs="宋体"/>
          <w:color w:val="auto"/>
          <w:sz w:val="28"/>
          <w:szCs w:val="28"/>
          <w:highlight w:val="none"/>
        </w:rPr>
        <w:t>投资估算的范围</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_Toc9856 \h </w:instrText>
      </w:r>
      <w:r>
        <w:rPr>
          <w:color w:val="auto"/>
          <w:sz w:val="28"/>
          <w:szCs w:val="28"/>
          <w:highlight w:val="none"/>
        </w:rPr>
        <w:fldChar w:fldCharType="separate"/>
      </w:r>
      <w:r>
        <w:rPr>
          <w:color w:val="auto"/>
          <w:sz w:val="28"/>
          <w:szCs w:val="28"/>
          <w:highlight w:val="none"/>
        </w:rPr>
        <w:t>66</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"_Toc18443" </w:instrText>
      </w:r>
      <w:r>
        <w:rPr>
          <w:color w:val="auto"/>
          <w:highlight w:val="none"/>
        </w:rPr>
        <w:fldChar w:fldCharType="separate"/>
      </w:r>
      <w:r>
        <w:rPr>
          <w:rFonts w:ascii="宋体" w:hAnsi="宋体" w:cs="宋体"/>
          <w:color w:val="auto"/>
          <w:sz w:val="28"/>
          <w:szCs w:val="28"/>
          <w:highlight w:val="none"/>
        </w:rPr>
        <w:t>15.2</w:t>
      </w:r>
      <w:r>
        <w:rPr>
          <w:rFonts w:hint="eastAsia" w:ascii="宋体" w:hAnsi="宋体" w:cs="宋体"/>
          <w:color w:val="auto"/>
          <w:sz w:val="28"/>
          <w:szCs w:val="28"/>
          <w:highlight w:val="none"/>
        </w:rPr>
        <w:t>编制依据</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_Toc18443 \h </w:instrText>
      </w:r>
      <w:r>
        <w:rPr>
          <w:color w:val="auto"/>
          <w:sz w:val="28"/>
          <w:szCs w:val="28"/>
          <w:highlight w:val="none"/>
        </w:rPr>
        <w:fldChar w:fldCharType="separate"/>
      </w:r>
      <w:r>
        <w:rPr>
          <w:color w:val="auto"/>
          <w:sz w:val="28"/>
          <w:szCs w:val="28"/>
          <w:highlight w:val="none"/>
        </w:rPr>
        <w:t>66</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"_Toc12032" </w:instrText>
      </w:r>
      <w:r>
        <w:rPr>
          <w:color w:val="auto"/>
          <w:highlight w:val="none"/>
        </w:rPr>
        <w:fldChar w:fldCharType="separate"/>
      </w:r>
      <w:r>
        <w:rPr>
          <w:rFonts w:ascii="宋体" w:hAnsi="宋体" w:cs="宋体"/>
          <w:color w:val="auto"/>
          <w:sz w:val="28"/>
          <w:szCs w:val="28"/>
          <w:highlight w:val="none"/>
        </w:rPr>
        <w:t>15.3</w:t>
      </w:r>
      <w:r>
        <w:rPr>
          <w:rFonts w:hint="eastAsia" w:ascii="宋体" w:hAnsi="宋体" w:cs="宋体"/>
          <w:color w:val="auto"/>
          <w:sz w:val="28"/>
          <w:szCs w:val="28"/>
          <w:highlight w:val="none"/>
        </w:rPr>
        <w:t>投资估算分析</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_Toc12032 \h </w:instrText>
      </w:r>
      <w:r>
        <w:rPr>
          <w:color w:val="auto"/>
          <w:sz w:val="28"/>
          <w:szCs w:val="28"/>
          <w:highlight w:val="none"/>
        </w:rPr>
        <w:fldChar w:fldCharType="separate"/>
      </w:r>
      <w:r>
        <w:rPr>
          <w:color w:val="auto"/>
          <w:sz w:val="28"/>
          <w:szCs w:val="28"/>
          <w:highlight w:val="none"/>
        </w:rPr>
        <w:t>66</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"_Toc5775" </w:instrText>
      </w:r>
      <w:r>
        <w:rPr>
          <w:color w:val="auto"/>
          <w:highlight w:val="none"/>
        </w:rPr>
        <w:fldChar w:fldCharType="separate"/>
      </w:r>
      <w:r>
        <w:rPr>
          <w:rFonts w:ascii="宋体" w:hAnsi="宋体" w:cs="宋体"/>
          <w:color w:val="auto"/>
          <w:sz w:val="28"/>
          <w:szCs w:val="28"/>
          <w:highlight w:val="none"/>
        </w:rPr>
        <w:t>15.4</w:t>
      </w:r>
      <w:r>
        <w:rPr>
          <w:rFonts w:hint="eastAsia" w:ascii="宋体" w:hAnsi="宋体" w:cs="宋体"/>
          <w:color w:val="auto"/>
          <w:sz w:val="28"/>
          <w:szCs w:val="28"/>
          <w:highlight w:val="none"/>
        </w:rPr>
        <w:t>资金筹措</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_Toc5775 \h </w:instrText>
      </w:r>
      <w:r>
        <w:rPr>
          <w:color w:val="auto"/>
          <w:sz w:val="28"/>
          <w:szCs w:val="28"/>
          <w:highlight w:val="none"/>
        </w:rPr>
        <w:fldChar w:fldCharType="separate"/>
      </w:r>
      <w:r>
        <w:rPr>
          <w:color w:val="auto"/>
          <w:sz w:val="28"/>
          <w:szCs w:val="28"/>
          <w:highlight w:val="none"/>
        </w:rPr>
        <w:t>67</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"_Toc19722" </w:instrText>
      </w:r>
      <w:r>
        <w:rPr>
          <w:color w:val="auto"/>
          <w:highlight w:val="none"/>
        </w:rPr>
        <w:fldChar w:fldCharType="separate"/>
      </w:r>
      <w:r>
        <w:rPr>
          <w:rFonts w:hint="eastAsia"/>
          <w:b/>
          <w:color w:val="auto"/>
          <w:sz w:val="28"/>
          <w:szCs w:val="28"/>
          <w:highlight w:val="none"/>
          <w:lang w:val="zh-CN"/>
        </w:rPr>
        <w:t>第十六章</w:t>
      </w:r>
      <w:r>
        <w:rPr>
          <w:b/>
          <w:color w:val="auto"/>
          <w:sz w:val="28"/>
          <w:szCs w:val="28"/>
          <w:highlight w:val="none"/>
          <w:lang w:val="zh-CN"/>
        </w:rPr>
        <w:t xml:space="preserve"> </w:t>
      </w:r>
      <w:r>
        <w:rPr>
          <w:rFonts w:hint="eastAsia"/>
          <w:b/>
          <w:color w:val="auto"/>
          <w:sz w:val="28"/>
          <w:szCs w:val="28"/>
          <w:highlight w:val="none"/>
          <w:lang w:val="zh-CN"/>
        </w:rPr>
        <w:t>财务经济评价</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_Toc19722 \h </w:instrText>
      </w:r>
      <w:r>
        <w:rPr>
          <w:b/>
          <w:color w:val="auto"/>
          <w:sz w:val="28"/>
          <w:szCs w:val="28"/>
          <w:highlight w:val="none"/>
        </w:rPr>
        <w:fldChar w:fldCharType="separate"/>
      </w:r>
      <w:r>
        <w:rPr>
          <w:b/>
          <w:color w:val="auto"/>
          <w:sz w:val="28"/>
          <w:szCs w:val="28"/>
          <w:highlight w:val="none"/>
        </w:rPr>
        <w:t>68</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"_Toc23253" </w:instrText>
      </w:r>
      <w:r>
        <w:rPr>
          <w:color w:val="auto"/>
          <w:highlight w:val="none"/>
        </w:rPr>
        <w:fldChar w:fldCharType="separate"/>
      </w:r>
      <w:r>
        <w:rPr>
          <w:rFonts w:ascii="宋体" w:hAnsi="宋体" w:cs="宋体"/>
          <w:color w:val="auto"/>
          <w:sz w:val="28"/>
          <w:szCs w:val="28"/>
          <w:highlight w:val="none"/>
        </w:rPr>
        <w:t>16.1</w:t>
      </w:r>
      <w:r>
        <w:rPr>
          <w:rFonts w:hint="eastAsia" w:ascii="宋体" w:hAnsi="宋体" w:cs="宋体"/>
          <w:color w:val="auto"/>
          <w:sz w:val="28"/>
          <w:szCs w:val="28"/>
          <w:highlight w:val="none"/>
        </w:rPr>
        <w:t>基本数据</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_Toc23253 \h </w:instrText>
      </w:r>
      <w:r>
        <w:rPr>
          <w:color w:val="auto"/>
          <w:sz w:val="28"/>
          <w:szCs w:val="28"/>
          <w:highlight w:val="none"/>
        </w:rPr>
        <w:fldChar w:fldCharType="separate"/>
      </w:r>
      <w:r>
        <w:rPr>
          <w:color w:val="auto"/>
          <w:sz w:val="28"/>
          <w:szCs w:val="28"/>
          <w:highlight w:val="none"/>
        </w:rPr>
        <w:t>68</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"_Toc326" </w:instrText>
      </w:r>
      <w:r>
        <w:rPr>
          <w:color w:val="auto"/>
          <w:highlight w:val="none"/>
        </w:rPr>
        <w:fldChar w:fldCharType="separate"/>
      </w:r>
      <w:r>
        <w:rPr>
          <w:rFonts w:ascii="宋体" w:hAnsi="宋体" w:cs="宋体"/>
          <w:color w:val="auto"/>
          <w:sz w:val="28"/>
          <w:szCs w:val="28"/>
          <w:highlight w:val="none"/>
        </w:rPr>
        <w:t>16.2</w:t>
      </w:r>
      <w:r>
        <w:rPr>
          <w:rFonts w:hint="eastAsia" w:ascii="宋体" w:hAnsi="宋体" w:cs="宋体"/>
          <w:color w:val="auto"/>
          <w:sz w:val="28"/>
          <w:szCs w:val="28"/>
          <w:highlight w:val="none"/>
        </w:rPr>
        <w:t>产品成本估算</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_Toc326 \h </w:instrText>
      </w:r>
      <w:r>
        <w:rPr>
          <w:color w:val="auto"/>
          <w:sz w:val="28"/>
          <w:szCs w:val="28"/>
          <w:highlight w:val="none"/>
        </w:rPr>
        <w:fldChar w:fldCharType="separate"/>
      </w:r>
      <w:r>
        <w:rPr>
          <w:color w:val="auto"/>
          <w:sz w:val="28"/>
          <w:szCs w:val="28"/>
          <w:highlight w:val="none"/>
        </w:rPr>
        <w:t>68</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"_Toc15505" </w:instrText>
      </w:r>
      <w:r>
        <w:rPr>
          <w:color w:val="auto"/>
          <w:highlight w:val="none"/>
        </w:rPr>
        <w:fldChar w:fldCharType="separate"/>
      </w:r>
      <w:r>
        <w:rPr>
          <w:rFonts w:ascii="宋体" w:hAnsi="宋体" w:cs="宋体"/>
          <w:color w:val="auto"/>
          <w:sz w:val="28"/>
          <w:szCs w:val="28"/>
          <w:highlight w:val="none"/>
        </w:rPr>
        <w:t>16.3</w:t>
      </w:r>
      <w:r>
        <w:rPr>
          <w:rFonts w:hint="eastAsia" w:ascii="宋体" w:hAnsi="宋体" w:cs="宋体"/>
          <w:color w:val="auto"/>
          <w:sz w:val="28"/>
          <w:szCs w:val="28"/>
          <w:highlight w:val="none"/>
        </w:rPr>
        <w:t>主要效益指标估算</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_Toc15505 \h </w:instrText>
      </w:r>
      <w:r>
        <w:rPr>
          <w:color w:val="auto"/>
          <w:sz w:val="28"/>
          <w:szCs w:val="28"/>
          <w:highlight w:val="none"/>
        </w:rPr>
        <w:fldChar w:fldCharType="separate"/>
      </w:r>
      <w:r>
        <w:rPr>
          <w:color w:val="auto"/>
          <w:sz w:val="28"/>
          <w:szCs w:val="28"/>
          <w:highlight w:val="none"/>
        </w:rPr>
        <w:t>69</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"_Toc5875" </w:instrText>
      </w:r>
      <w:r>
        <w:rPr>
          <w:color w:val="auto"/>
          <w:highlight w:val="none"/>
        </w:rPr>
        <w:fldChar w:fldCharType="separate"/>
      </w:r>
      <w:r>
        <w:rPr>
          <w:rFonts w:ascii="宋体" w:hAnsi="宋体" w:cs="宋体"/>
          <w:color w:val="auto"/>
          <w:sz w:val="28"/>
          <w:szCs w:val="28"/>
          <w:highlight w:val="none"/>
        </w:rPr>
        <w:t>16.4</w:t>
      </w:r>
      <w:r>
        <w:rPr>
          <w:rFonts w:hint="eastAsia" w:ascii="宋体" w:hAnsi="宋体" w:cs="宋体"/>
          <w:color w:val="auto"/>
          <w:sz w:val="28"/>
          <w:szCs w:val="28"/>
          <w:highlight w:val="none"/>
        </w:rPr>
        <w:t>盈亏平衡分析</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_Toc5875 \h </w:instrText>
      </w:r>
      <w:r>
        <w:rPr>
          <w:color w:val="auto"/>
          <w:sz w:val="28"/>
          <w:szCs w:val="28"/>
          <w:highlight w:val="none"/>
        </w:rPr>
        <w:fldChar w:fldCharType="separate"/>
      </w:r>
      <w:r>
        <w:rPr>
          <w:color w:val="auto"/>
          <w:sz w:val="28"/>
          <w:szCs w:val="28"/>
          <w:highlight w:val="none"/>
        </w:rPr>
        <w:t>70</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"_Toc27696" </w:instrText>
      </w:r>
      <w:r>
        <w:rPr>
          <w:color w:val="auto"/>
          <w:highlight w:val="none"/>
        </w:rPr>
        <w:fldChar w:fldCharType="separate"/>
      </w:r>
      <w:r>
        <w:rPr>
          <w:rFonts w:ascii="宋体" w:hAnsi="宋体" w:cs="宋体"/>
          <w:color w:val="auto"/>
          <w:sz w:val="28"/>
          <w:szCs w:val="28"/>
          <w:highlight w:val="none"/>
        </w:rPr>
        <w:t>16.5</w:t>
      </w:r>
      <w:r>
        <w:rPr>
          <w:rFonts w:hint="eastAsia" w:ascii="宋体" w:hAnsi="宋体" w:cs="宋体"/>
          <w:color w:val="auto"/>
          <w:sz w:val="28"/>
          <w:szCs w:val="28"/>
          <w:highlight w:val="none"/>
        </w:rPr>
        <w:t>评价结论</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_Toc27696 \h </w:instrText>
      </w:r>
      <w:r>
        <w:rPr>
          <w:color w:val="auto"/>
          <w:sz w:val="28"/>
          <w:szCs w:val="28"/>
          <w:highlight w:val="none"/>
        </w:rPr>
        <w:fldChar w:fldCharType="separate"/>
      </w:r>
      <w:r>
        <w:rPr>
          <w:color w:val="auto"/>
          <w:sz w:val="28"/>
          <w:szCs w:val="28"/>
          <w:highlight w:val="none"/>
        </w:rPr>
        <w:t>70</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"_Toc26071" </w:instrText>
      </w:r>
      <w:r>
        <w:rPr>
          <w:color w:val="auto"/>
          <w:highlight w:val="none"/>
        </w:rPr>
        <w:fldChar w:fldCharType="separate"/>
      </w:r>
      <w:r>
        <w:rPr>
          <w:rFonts w:hint="eastAsia"/>
          <w:b/>
          <w:color w:val="auto"/>
          <w:sz w:val="28"/>
          <w:szCs w:val="28"/>
          <w:highlight w:val="none"/>
          <w:lang w:val="zh-CN"/>
        </w:rPr>
        <w:t>第十七章</w:t>
      </w:r>
      <w:r>
        <w:rPr>
          <w:b/>
          <w:color w:val="auto"/>
          <w:sz w:val="28"/>
          <w:szCs w:val="28"/>
          <w:highlight w:val="none"/>
          <w:lang w:val="zh-CN"/>
        </w:rPr>
        <w:t xml:space="preserve"> </w:t>
      </w:r>
      <w:r>
        <w:rPr>
          <w:rFonts w:hint="eastAsia"/>
          <w:b/>
          <w:color w:val="auto"/>
          <w:sz w:val="28"/>
          <w:szCs w:val="28"/>
          <w:highlight w:val="none"/>
          <w:lang w:val="zh-CN"/>
        </w:rPr>
        <w:t>社会稳定性分析</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_Toc26071 \h </w:instrText>
      </w:r>
      <w:r>
        <w:rPr>
          <w:b/>
          <w:color w:val="auto"/>
          <w:sz w:val="28"/>
          <w:szCs w:val="28"/>
          <w:highlight w:val="none"/>
        </w:rPr>
        <w:fldChar w:fldCharType="separate"/>
      </w:r>
      <w:r>
        <w:rPr>
          <w:b/>
          <w:color w:val="auto"/>
          <w:sz w:val="28"/>
          <w:szCs w:val="28"/>
          <w:highlight w:val="none"/>
        </w:rPr>
        <w:t>71</w:t>
      </w:r>
      <w:r>
        <w:rPr>
          <w:b/>
          <w:color w:val="auto"/>
          <w:sz w:val="28"/>
          <w:szCs w:val="28"/>
          <w:highlight w:val="none"/>
        </w:rPr>
        <w:fldChar w:fldCharType="end"/>
      </w:r>
      <w:r>
        <w:rPr>
          <w:b/>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"_Toc24955" </w:instrText>
      </w:r>
      <w:r>
        <w:rPr>
          <w:color w:val="auto"/>
          <w:highlight w:val="none"/>
        </w:rPr>
        <w:fldChar w:fldCharType="separate"/>
      </w:r>
      <w:r>
        <w:rPr>
          <w:rFonts w:ascii="宋体" w:hAnsi="宋体" w:cs="宋体"/>
          <w:color w:val="auto"/>
          <w:sz w:val="28"/>
          <w:szCs w:val="28"/>
          <w:highlight w:val="none"/>
          <w:lang w:val="en-GB"/>
        </w:rPr>
        <w:t xml:space="preserve">17.1 </w:t>
      </w:r>
      <w:r>
        <w:rPr>
          <w:rFonts w:hint="eastAsia" w:ascii="宋体" w:hAnsi="宋体" w:cs="宋体"/>
          <w:color w:val="auto"/>
          <w:sz w:val="28"/>
          <w:szCs w:val="28"/>
          <w:highlight w:val="none"/>
          <w:lang w:val="en-GB"/>
        </w:rPr>
        <w:t>项目主要风险识别</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_Toc24955 \h </w:instrText>
      </w:r>
      <w:r>
        <w:rPr>
          <w:color w:val="auto"/>
          <w:sz w:val="28"/>
          <w:szCs w:val="28"/>
          <w:highlight w:val="none"/>
        </w:rPr>
        <w:fldChar w:fldCharType="separate"/>
      </w:r>
      <w:r>
        <w:rPr>
          <w:color w:val="auto"/>
          <w:sz w:val="28"/>
          <w:szCs w:val="28"/>
          <w:highlight w:val="none"/>
        </w:rPr>
        <w:t>71</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"_Toc4660" </w:instrText>
      </w:r>
      <w:r>
        <w:rPr>
          <w:color w:val="auto"/>
          <w:highlight w:val="none"/>
        </w:rPr>
        <w:fldChar w:fldCharType="separate"/>
      </w:r>
      <w:r>
        <w:rPr>
          <w:rFonts w:ascii="宋体" w:hAnsi="宋体" w:cs="宋体"/>
          <w:color w:val="auto"/>
          <w:sz w:val="28"/>
          <w:szCs w:val="28"/>
          <w:highlight w:val="none"/>
          <w:lang w:val="en-GB"/>
        </w:rPr>
        <w:t xml:space="preserve">17.2 </w:t>
      </w:r>
      <w:r>
        <w:rPr>
          <w:rFonts w:hint="eastAsia" w:ascii="宋体" w:hAnsi="宋体" w:cs="宋体"/>
          <w:color w:val="auto"/>
          <w:sz w:val="28"/>
          <w:szCs w:val="28"/>
          <w:highlight w:val="none"/>
          <w:lang w:val="en-GB"/>
        </w:rPr>
        <w:t>风险程度分析</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_Toc4660 \h </w:instrText>
      </w:r>
      <w:r>
        <w:rPr>
          <w:color w:val="auto"/>
          <w:sz w:val="28"/>
          <w:szCs w:val="28"/>
          <w:highlight w:val="none"/>
        </w:rPr>
        <w:fldChar w:fldCharType="separate"/>
      </w:r>
      <w:r>
        <w:rPr>
          <w:color w:val="auto"/>
          <w:sz w:val="28"/>
          <w:szCs w:val="28"/>
          <w:highlight w:val="none"/>
        </w:rPr>
        <w:t>72</w:t>
      </w:r>
      <w:r>
        <w:rPr>
          <w:color w:val="auto"/>
          <w:sz w:val="28"/>
          <w:szCs w:val="28"/>
          <w:highlight w:val="none"/>
        </w:rPr>
        <w:fldChar w:fldCharType="end"/>
      </w:r>
      <w:r>
        <w:rPr>
          <w:color w:val="auto"/>
          <w:sz w:val="28"/>
          <w:szCs w:val="28"/>
          <w:highlight w:val="none"/>
        </w:rPr>
        <w:fldChar w:fldCharType="end"/>
      </w:r>
    </w:p>
    <w:p>
      <w:pPr>
        <w:pStyle w:val="49"/>
        <w:tabs>
          <w:tab w:val="right" w:leader="dot" w:pos="8306"/>
        </w:tabs>
        <w:spacing w:line="500" w:lineRule="exact"/>
        <w:ind w:left="31680"/>
        <w:rPr>
          <w:color w:val="auto"/>
          <w:sz w:val="28"/>
          <w:szCs w:val="28"/>
          <w:highlight w:val="none"/>
        </w:rPr>
      </w:pPr>
      <w:r>
        <w:rPr>
          <w:color w:val="auto"/>
          <w:highlight w:val="none"/>
        </w:rPr>
        <w:fldChar w:fldCharType="begin"/>
      </w:r>
      <w:r>
        <w:rPr>
          <w:color w:val="auto"/>
          <w:highlight w:val="none"/>
        </w:rPr>
        <w:instrText xml:space="preserve"> HYPERLINK \l "_Toc15559" </w:instrText>
      </w:r>
      <w:r>
        <w:rPr>
          <w:color w:val="auto"/>
          <w:highlight w:val="none"/>
        </w:rPr>
        <w:fldChar w:fldCharType="separate"/>
      </w:r>
      <w:r>
        <w:rPr>
          <w:rFonts w:ascii="宋体" w:hAnsi="宋体" w:cs="宋体"/>
          <w:color w:val="auto"/>
          <w:sz w:val="28"/>
          <w:szCs w:val="28"/>
          <w:highlight w:val="none"/>
          <w:lang w:val="en-GB"/>
        </w:rPr>
        <w:t xml:space="preserve">17.3 </w:t>
      </w:r>
      <w:r>
        <w:rPr>
          <w:rFonts w:hint="eastAsia" w:ascii="宋体" w:hAnsi="宋体" w:cs="宋体"/>
          <w:color w:val="auto"/>
          <w:sz w:val="28"/>
          <w:szCs w:val="28"/>
          <w:highlight w:val="none"/>
          <w:lang w:val="en-GB"/>
        </w:rPr>
        <w:t>防范风险对策</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_Toc15559 \h </w:instrText>
      </w:r>
      <w:r>
        <w:rPr>
          <w:color w:val="auto"/>
          <w:sz w:val="28"/>
          <w:szCs w:val="28"/>
          <w:highlight w:val="none"/>
        </w:rPr>
        <w:fldChar w:fldCharType="separate"/>
      </w:r>
      <w:r>
        <w:rPr>
          <w:color w:val="auto"/>
          <w:sz w:val="28"/>
          <w:szCs w:val="28"/>
          <w:highlight w:val="none"/>
        </w:rPr>
        <w:t>73</w:t>
      </w:r>
      <w:r>
        <w:rPr>
          <w:color w:val="auto"/>
          <w:sz w:val="28"/>
          <w:szCs w:val="28"/>
          <w:highlight w:val="none"/>
        </w:rPr>
        <w:fldChar w:fldCharType="end"/>
      </w:r>
      <w:r>
        <w:rPr>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"_Toc20421" </w:instrText>
      </w:r>
      <w:r>
        <w:rPr>
          <w:color w:val="auto"/>
          <w:highlight w:val="none"/>
        </w:rPr>
        <w:fldChar w:fldCharType="separate"/>
      </w:r>
      <w:r>
        <w:rPr>
          <w:rFonts w:hint="eastAsia"/>
          <w:b/>
          <w:color w:val="auto"/>
          <w:sz w:val="28"/>
          <w:szCs w:val="28"/>
          <w:highlight w:val="none"/>
          <w:lang w:val="zh-CN"/>
        </w:rPr>
        <w:t>第十八章</w:t>
      </w:r>
      <w:r>
        <w:rPr>
          <w:b/>
          <w:color w:val="auto"/>
          <w:sz w:val="28"/>
          <w:szCs w:val="28"/>
          <w:highlight w:val="none"/>
          <w:lang w:val="zh-CN"/>
        </w:rPr>
        <w:t xml:space="preserve">  </w:t>
      </w:r>
      <w:r>
        <w:rPr>
          <w:rFonts w:hint="eastAsia"/>
          <w:b/>
          <w:color w:val="auto"/>
          <w:sz w:val="28"/>
          <w:szCs w:val="28"/>
          <w:highlight w:val="none"/>
          <w:lang w:val="zh-CN"/>
        </w:rPr>
        <w:t>结论</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_Toc20421 \h </w:instrText>
      </w:r>
      <w:r>
        <w:rPr>
          <w:b/>
          <w:color w:val="auto"/>
          <w:sz w:val="28"/>
          <w:szCs w:val="28"/>
          <w:highlight w:val="none"/>
        </w:rPr>
        <w:fldChar w:fldCharType="separate"/>
      </w:r>
      <w:r>
        <w:rPr>
          <w:b/>
          <w:color w:val="auto"/>
          <w:sz w:val="28"/>
          <w:szCs w:val="28"/>
          <w:highlight w:val="none"/>
        </w:rPr>
        <w:t>74</w:t>
      </w:r>
      <w:r>
        <w:rPr>
          <w:b/>
          <w:color w:val="auto"/>
          <w:sz w:val="28"/>
          <w:szCs w:val="28"/>
          <w:highlight w:val="none"/>
        </w:rPr>
        <w:fldChar w:fldCharType="end"/>
      </w:r>
      <w:r>
        <w:rPr>
          <w:b/>
          <w:color w:val="auto"/>
          <w:sz w:val="28"/>
          <w:szCs w:val="28"/>
          <w:highlight w:val="none"/>
        </w:rPr>
        <w:fldChar w:fldCharType="end"/>
      </w:r>
    </w:p>
    <w:p>
      <w:pPr>
        <w:pStyle w:val="48"/>
        <w:tabs>
          <w:tab w:val="right" w:leader="dot" w:pos="8306"/>
        </w:tabs>
        <w:spacing w:line="500" w:lineRule="exact"/>
        <w:rPr>
          <w:b/>
          <w:color w:val="auto"/>
          <w:sz w:val="28"/>
          <w:szCs w:val="28"/>
          <w:highlight w:val="none"/>
        </w:rPr>
      </w:pPr>
      <w:r>
        <w:rPr>
          <w:color w:val="auto"/>
          <w:highlight w:val="none"/>
        </w:rPr>
        <w:fldChar w:fldCharType="begin"/>
      </w:r>
      <w:r>
        <w:rPr>
          <w:color w:val="auto"/>
          <w:highlight w:val="none"/>
        </w:rPr>
        <w:instrText xml:space="preserve"> HYPERLINK \l "_Toc17366" </w:instrText>
      </w:r>
      <w:r>
        <w:rPr>
          <w:color w:val="auto"/>
          <w:highlight w:val="none"/>
        </w:rPr>
        <w:fldChar w:fldCharType="separate"/>
      </w:r>
      <w:r>
        <w:rPr>
          <w:rFonts w:hint="eastAsia"/>
          <w:b/>
          <w:color w:val="auto"/>
          <w:sz w:val="28"/>
          <w:szCs w:val="28"/>
          <w:highlight w:val="none"/>
          <w:lang w:val="zh-CN"/>
        </w:rPr>
        <w:t>附件</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_Toc17366 \h </w:instrText>
      </w:r>
      <w:r>
        <w:rPr>
          <w:b/>
          <w:color w:val="auto"/>
          <w:sz w:val="28"/>
          <w:szCs w:val="28"/>
          <w:highlight w:val="none"/>
        </w:rPr>
        <w:fldChar w:fldCharType="separate"/>
      </w:r>
      <w:r>
        <w:rPr>
          <w:b/>
          <w:color w:val="auto"/>
          <w:sz w:val="28"/>
          <w:szCs w:val="28"/>
          <w:highlight w:val="none"/>
        </w:rPr>
        <w:t>75</w:t>
      </w:r>
      <w:r>
        <w:rPr>
          <w:b/>
          <w:color w:val="auto"/>
          <w:sz w:val="28"/>
          <w:szCs w:val="28"/>
          <w:highlight w:val="none"/>
        </w:rPr>
        <w:fldChar w:fldCharType="end"/>
      </w:r>
      <w:r>
        <w:rPr>
          <w:b/>
          <w:color w:val="auto"/>
          <w:sz w:val="28"/>
          <w:szCs w:val="28"/>
          <w:highlight w:val="none"/>
        </w:rPr>
        <w:fldChar w:fldCharType="end"/>
      </w:r>
    </w:p>
    <w:p>
      <w:pPr>
        <w:spacing w:line="500" w:lineRule="exact"/>
        <w:rPr>
          <w:color w:val="auto"/>
          <w:highlight w:val="none"/>
        </w:rPr>
        <w:sectPr>
          <w:headerReference r:id="rId3" w:type="default"/>
          <w:pgSz w:w="11906" w:h="16838"/>
          <w:pgMar w:top="1440" w:right="1800" w:bottom="1440" w:left="1800" w:header="851" w:footer="992" w:gutter="0"/>
          <w:cols w:space="425" w:num="1"/>
          <w:docGrid w:type="lines" w:linePitch="312" w:charSpace="0"/>
        </w:sectPr>
      </w:pPr>
      <w:r>
        <w:rPr>
          <w:color w:val="auto"/>
          <w:sz w:val="28"/>
          <w:szCs w:val="28"/>
          <w:highlight w:val="none"/>
        </w:rPr>
        <w:fldChar w:fldCharType="end"/>
      </w:r>
    </w:p>
    <w:p>
      <w:pPr>
        <w:pStyle w:val="2"/>
        <w:spacing w:before="0" w:after="0" w:line="560" w:lineRule="exact"/>
        <w:jc w:val="center"/>
        <w:rPr>
          <w:rFonts w:ascii="宋体" w:cs="宋体"/>
          <w:color w:val="auto"/>
          <w:sz w:val="32"/>
          <w:szCs w:val="32"/>
          <w:highlight w:val="none"/>
        </w:rPr>
      </w:pPr>
      <w:bookmarkStart w:id="8" w:name="_Toc1943"/>
      <w:bookmarkStart w:id="9" w:name="_Toc25506"/>
      <w:bookmarkStart w:id="10" w:name="_Toc5593"/>
      <w:bookmarkStart w:id="11" w:name="_Toc26160"/>
      <w:r>
        <w:rPr>
          <w:rFonts w:hint="eastAsia" w:ascii="宋体" w:hAnsi="宋体" w:cs="宋体"/>
          <w:color w:val="auto"/>
          <w:sz w:val="32"/>
          <w:szCs w:val="32"/>
          <w:highlight w:val="none"/>
        </w:rPr>
        <w:t>第一章</w:t>
      </w:r>
      <w:r>
        <w:rPr>
          <w:rFonts w:ascii="宋体" w:hAnsi="宋体" w:cs="宋体"/>
          <w:color w:val="auto"/>
          <w:sz w:val="32"/>
          <w:szCs w:val="32"/>
          <w:highlight w:val="none"/>
        </w:rPr>
        <w:t xml:space="preserve"> </w:t>
      </w:r>
      <w:r>
        <w:rPr>
          <w:rFonts w:hint="eastAsia" w:ascii="宋体" w:hAnsi="宋体" w:cs="宋体"/>
          <w:color w:val="auto"/>
          <w:sz w:val="32"/>
          <w:szCs w:val="32"/>
          <w:highlight w:val="none"/>
        </w:rPr>
        <w:t>总</w:t>
      </w:r>
      <w:r>
        <w:rPr>
          <w:rFonts w:ascii="宋体" w:hAnsi="宋体" w:cs="宋体"/>
          <w:color w:val="auto"/>
          <w:sz w:val="32"/>
          <w:szCs w:val="32"/>
          <w:highlight w:val="none"/>
        </w:rPr>
        <w:t xml:space="preserve"> </w:t>
      </w:r>
      <w:r>
        <w:rPr>
          <w:rFonts w:hint="eastAsia" w:ascii="宋体" w:hAnsi="宋体" w:cs="宋体"/>
          <w:color w:val="auto"/>
          <w:sz w:val="32"/>
          <w:szCs w:val="32"/>
          <w:highlight w:val="none"/>
        </w:rPr>
        <w:t>论</w:t>
      </w:r>
      <w:bookmarkEnd w:id="8"/>
      <w:bookmarkEnd w:id="9"/>
      <w:bookmarkEnd w:id="10"/>
      <w:bookmarkEnd w:id="11"/>
    </w:p>
    <w:p>
      <w:pPr>
        <w:pStyle w:val="3"/>
        <w:spacing w:before="0" w:after="0" w:line="560" w:lineRule="exact"/>
        <w:ind w:firstLine="560" w:firstLineChars="200"/>
        <w:rPr>
          <w:rFonts w:ascii="宋体" w:hAnsi="宋体" w:eastAsia="宋体" w:cs="宋体"/>
          <w:b w:val="0"/>
          <w:bCs/>
          <w:color w:val="auto"/>
          <w:sz w:val="28"/>
          <w:szCs w:val="28"/>
          <w:highlight w:val="none"/>
        </w:rPr>
      </w:pPr>
      <w:bookmarkStart w:id="12" w:name="_Toc1195"/>
      <w:bookmarkStart w:id="13" w:name="_Toc15679"/>
      <w:bookmarkStart w:id="14" w:name="_Toc14282_WPSOffice_Level2"/>
      <w:bookmarkStart w:id="15" w:name="_Toc4905"/>
      <w:bookmarkStart w:id="16" w:name="_Toc26454"/>
      <w:bookmarkStart w:id="17" w:name="_Toc26986"/>
      <w:r>
        <w:rPr>
          <w:rFonts w:ascii="宋体" w:hAnsi="宋体" w:eastAsia="宋体" w:cs="宋体"/>
          <w:b w:val="0"/>
          <w:bCs/>
          <w:color w:val="auto"/>
          <w:sz w:val="28"/>
          <w:szCs w:val="28"/>
          <w:highlight w:val="none"/>
        </w:rPr>
        <w:t xml:space="preserve">1.1 </w:t>
      </w:r>
      <w:r>
        <w:rPr>
          <w:rFonts w:hint="eastAsia" w:ascii="宋体" w:hAnsi="宋体" w:eastAsia="宋体" w:cs="宋体"/>
          <w:b w:val="0"/>
          <w:bCs/>
          <w:color w:val="auto"/>
          <w:sz w:val="28"/>
          <w:szCs w:val="28"/>
          <w:highlight w:val="none"/>
        </w:rPr>
        <w:t>概述</w:t>
      </w:r>
      <w:bookmarkEnd w:id="12"/>
      <w:bookmarkEnd w:id="13"/>
      <w:bookmarkEnd w:id="14"/>
      <w:bookmarkEnd w:id="15"/>
      <w:bookmarkEnd w:id="16"/>
      <w:bookmarkEnd w:id="17"/>
    </w:p>
    <w:p>
      <w:pPr>
        <w:spacing w:line="560" w:lineRule="exact"/>
        <w:ind w:firstLine="560" w:firstLineChars="200"/>
        <w:rPr>
          <w:rFonts w:ascii="宋体" w:cs="宋体"/>
          <w:bCs/>
          <w:color w:val="auto"/>
          <w:kern w:val="0"/>
          <w:sz w:val="28"/>
          <w:szCs w:val="28"/>
          <w:highlight w:val="none"/>
        </w:rPr>
      </w:pPr>
      <w:bookmarkStart w:id="18" w:name="_Toc8847"/>
      <w:r>
        <w:rPr>
          <w:rFonts w:ascii="宋体" w:hAnsi="宋体" w:cs="宋体"/>
          <w:bCs/>
          <w:color w:val="auto"/>
          <w:kern w:val="0"/>
          <w:sz w:val="28"/>
          <w:szCs w:val="28"/>
          <w:highlight w:val="none"/>
        </w:rPr>
        <w:t xml:space="preserve">1.1.1 </w:t>
      </w:r>
      <w:r>
        <w:rPr>
          <w:rFonts w:hint="eastAsia" w:ascii="宋体" w:hAnsi="宋体" w:cs="宋体"/>
          <w:bCs/>
          <w:color w:val="auto"/>
          <w:kern w:val="0"/>
          <w:sz w:val="28"/>
          <w:szCs w:val="28"/>
          <w:highlight w:val="none"/>
        </w:rPr>
        <w:t>项目名称</w:t>
      </w:r>
      <w:bookmarkEnd w:id="18"/>
    </w:p>
    <w:p>
      <w:pPr>
        <w:spacing w:line="560" w:lineRule="exact"/>
        <w:ind w:firstLine="560" w:firstLineChars="200"/>
        <w:rPr>
          <w:rFonts w:ascii="宋体" w:cs="宋体"/>
          <w:bCs/>
          <w:color w:val="auto"/>
          <w:kern w:val="0"/>
          <w:sz w:val="28"/>
          <w:szCs w:val="28"/>
          <w:highlight w:val="none"/>
        </w:rPr>
      </w:pPr>
      <w:r>
        <w:rPr>
          <w:rFonts w:hint="eastAsia" w:ascii="宋体" w:hAnsi="宋体" w:cs="宋体"/>
          <w:bCs/>
          <w:color w:val="auto"/>
          <w:kern w:val="0"/>
          <w:sz w:val="28"/>
          <w:szCs w:val="28"/>
          <w:highlight w:val="none"/>
        </w:rPr>
        <w:t>项目名称：</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年次氯酸钠项目可行性研究报告</w:t>
      </w:r>
    </w:p>
    <w:p>
      <w:pPr>
        <w:spacing w:line="560" w:lineRule="exact"/>
        <w:ind w:firstLine="560" w:firstLineChars="200"/>
        <w:rPr>
          <w:rFonts w:ascii="宋体" w:cs="宋体"/>
          <w:bCs/>
          <w:color w:val="auto"/>
          <w:kern w:val="0"/>
          <w:sz w:val="28"/>
          <w:szCs w:val="28"/>
          <w:highlight w:val="none"/>
        </w:rPr>
      </w:pPr>
      <w:bookmarkStart w:id="19" w:name="_Toc27287"/>
      <w:r>
        <w:rPr>
          <w:rFonts w:ascii="宋体" w:hAnsi="宋体" w:cs="宋体"/>
          <w:bCs/>
          <w:color w:val="auto"/>
          <w:kern w:val="0"/>
          <w:sz w:val="28"/>
          <w:szCs w:val="28"/>
          <w:highlight w:val="none"/>
        </w:rPr>
        <w:t xml:space="preserve">1.1.2 </w:t>
      </w:r>
      <w:r>
        <w:rPr>
          <w:rFonts w:hint="eastAsia" w:ascii="宋体" w:hAnsi="宋体" w:cs="宋体"/>
          <w:bCs/>
          <w:color w:val="auto"/>
          <w:kern w:val="0"/>
          <w:sz w:val="28"/>
          <w:szCs w:val="28"/>
          <w:highlight w:val="none"/>
        </w:rPr>
        <w:t>建设单位概况</w:t>
      </w:r>
      <w:bookmarkEnd w:id="19"/>
    </w:p>
    <w:p>
      <w:pPr>
        <w:pStyle w:val="14"/>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adjustRightInd w:val="0"/>
        <w:snapToGrid w:val="0"/>
        <w:spacing w:line="560" w:lineRule="exact"/>
        <w:rPr>
          <w:rFonts w:ascii="宋体" w:hAnsi="宋体" w:eastAsia="宋体" w:cs="宋体"/>
          <w:bCs/>
          <w:color w:val="auto"/>
          <w:sz w:val="28"/>
          <w:szCs w:val="28"/>
          <w:highlight w:val="none"/>
        </w:rPr>
      </w:pPr>
      <w:r>
        <w:rPr>
          <w:rFonts w:ascii="宋体" w:hAnsi="宋体" w:eastAsia="宋体" w:cs="宋体"/>
          <w:bCs/>
          <w:color w:val="auto"/>
          <w:sz w:val="28"/>
          <w:szCs w:val="28"/>
          <w:highlight w:val="none"/>
        </w:rPr>
        <w:t xml:space="preserve">(1)  </w:t>
      </w:r>
      <w:r>
        <w:rPr>
          <w:rFonts w:hint="eastAsia" w:ascii="宋体" w:hAnsi="宋体" w:eastAsia="宋体" w:cs="宋体"/>
          <w:bCs/>
          <w:color w:val="auto"/>
          <w:sz w:val="28"/>
          <w:szCs w:val="28"/>
          <w:highlight w:val="none"/>
        </w:rPr>
        <w:t>建设单位：</w:t>
      </w:r>
      <w:r>
        <w:rPr>
          <w:rFonts w:ascii="宋体" w:hAnsi="宋体" w:eastAsia="宋体" w:cs="宋体"/>
          <w:bCs/>
          <w:color w:val="auto"/>
          <w:sz w:val="28"/>
          <w:szCs w:val="28"/>
          <w:highlight w:val="none"/>
        </w:rPr>
        <w:tab/>
      </w:r>
      <w:r>
        <w:rPr>
          <w:rFonts w:hint="eastAsia" w:ascii="宋体" w:hAnsi="宋体" w:eastAsia="宋体" w:cs="宋体"/>
          <w:bCs/>
          <w:color w:val="auto"/>
          <w:sz w:val="28"/>
          <w:szCs w:val="28"/>
          <w:highlight w:val="none"/>
        </w:rPr>
        <w:t>江苏索普新材料科技有限公司</w:t>
      </w:r>
    </w:p>
    <w:p>
      <w:pPr>
        <w:pStyle w:val="14"/>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adjustRightInd w:val="0"/>
        <w:snapToGrid w:val="0"/>
        <w:spacing w:line="560" w:lineRule="exact"/>
        <w:ind w:firstLine="700" w:firstLineChars="250"/>
        <w:rPr>
          <w:rFonts w:ascii="宋体" w:hAnsi="宋体" w:eastAsia="宋体" w:cs="宋体"/>
          <w:bCs/>
          <w:color w:val="auto"/>
          <w:sz w:val="28"/>
          <w:szCs w:val="28"/>
          <w:highlight w:val="none"/>
        </w:rPr>
      </w:pPr>
      <w:r>
        <w:rPr>
          <w:rFonts w:hint="eastAsia" w:ascii="宋体" w:hAnsi="宋体" w:eastAsia="宋体" w:cs="宋体"/>
          <w:bCs/>
          <w:color w:val="auto"/>
          <w:sz w:val="28"/>
          <w:szCs w:val="28"/>
          <w:highlight w:val="none"/>
        </w:rPr>
        <w:t>地址：</w:t>
      </w:r>
      <w:r>
        <w:rPr>
          <w:rFonts w:ascii="宋体" w:hAnsi="宋体" w:eastAsia="宋体" w:cs="宋体"/>
          <w:bCs/>
          <w:color w:val="auto"/>
          <w:sz w:val="28"/>
          <w:szCs w:val="28"/>
          <w:highlight w:val="none"/>
        </w:rPr>
        <w:tab/>
      </w:r>
      <w:r>
        <w:rPr>
          <w:rFonts w:ascii="宋体" w:hAnsi="宋体" w:eastAsia="宋体" w:cs="宋体"/>
          <w:bCs/>
          <w:color w:val="auto"/>
          <w:sz w:val="28"/>
          <w:szCs w:val="28"/>
          <w:highlight w:val="none"/>
        </w:rPr>
        <w:t xml:space="preserve">    </w:t>
      </w:r>
      <w:r>
        <w:rPr>
          <w:rFonts w:ascii="宋体" w:hAnsi="宋体" w:eastAsia="宋体" w:cs="宋体"/>
          <w:bCs/>
          <w:color w:val="auto"/>
          <w:sz w:val="28"/>
          <w:szCs w:val="28"/>
          <w:highlight w:val="none"/>
        </w:rPr>
        <w:tab/>
      </w:r>
      <w:r>
        <w:rPr>
          <w:rFonts w:hint="eastAsia" w:ascii="宋体" w:hAnsi="宋体" w:eastAsia="宋体" w:cs="宋体"/>
          <w:bCs/>
          <w:color w:val="auto"/>
          <w:sz w:val="28"/>
          <w:szCs w:val="28"/>
          <w:highlight w:val="none"/>
        </w:rPr>
        <w:t>江苏省镇江市</w:t>
      </w:r>
    </w:p>
    <w:p>
      <w:pPr>
        <w:pStyle w:val="14"/>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adjustRightInd w:val="0"/>
        <w:snapToGrid w:val="0"/>
        <w:spacing w:line="560" w:lineRule="exact"/>
        <w:ind w:firstLine="700" w:firstLineChars="250"/>
        <w:rPr>
          <w:rFonts w:ascii="宋体" w:hAnsi="宋体" w:eastAsia="宋体" w:cs="宋体"/>
          <w:bCs/>
          <w:color w:val="auto"/>
          <w:sz w:val="28"/>
          <w:szCs w:val="28"/>
          <w:highlight w:val="none"/>
        </w:rPr>
      </w:pPr>
      <w:r>
        <w:rPr>
          <w:rFonts w:hint="eastAsia" w:ascii="宋体" w:hAnsi="宋体" w:eastAsia="宋体" w:cs="宋体"/>
          <w:bCs/>
          <w:color w:val="auto"/>
          <w:sz w:val="28"/>
          <w:szCs w:val="28"/>
          <w:highlight w:val="none"/>
        </w:rPr>
        <w:t>法定代表人：</w:t>
      </w:r>
      <w:r>
        <w:rPr>
          <w:rFonts w:ascii="宋体" w:hAnsi="宋体" w:eastAsia="宋体" w:cs="宋体"/>
          <w:bCs/>
          <w:color w:val="auto"/>
          <w:sz w:val="28"/>
          <w:szCs w:val="28"/>
          <w:highlight w:val="none"/>
        </w:rPr>
        <w:tab/>
      </w:r>
      <w:r>
        <w:rPr>
          <w:rFonts w:hint="eastAsia" w:ascii="宋体" w:hAnsi="宋体" w:eastAsia="宋体" w:cs="宋体"/>
          <w:bCs/>
          <w:color w:val="auto"/>
          <w:sz w:val="28"/>
          <w:szCs w:val="28"/>
          <w:highlight w:val="none"/>
        </w:rPr>
        <w:t>周波</w:t>
      </w:r>
    </w:p>
    <w:p>
      <w:pPr>
        <w:spacing w:line="560" w:lineRule="exact"/>
        <w:rPr>
          <w:rFonts w:ascii="宋体" w:cs="宋体"/>
          <w:bCs/>
          <w:color w:val="auto"/>
          <w:sz w:val="28"/>
          <w:szCs w:val="28"/>
          <w:highlight w:val="none"/>
        </w:rPr>
      </w:pPr>
      <w:r>
        <w:rPr>
          <w:rFonts w:ascii="宋体" w:hAnsi="宋体" w:cs="宋体"/>
          <w:bCs/>
          <w:color w:val="auto"/>
          <w:sz w:val="28"/>
          <w:szCs w:val="28"/>
          <w:highlight w:val="none"/>
        </w:rPr>
        <w:t>(2)</w:t>
      </w:r>
      <w:r>
        <w:rPr>
          <w:rFonts w:hint="eastAsia" w:ascii="宋体" w:hAnsi="宋体" w:cs="宋体"/>
          <w:bCs/>
          <w:color w:val="auto"/>
          <w:sz w:val="28"/>
          <w:szCs w:val="28"/>
          <w:highlight w:val="none"/>
        </w:rPr>
        <w:t>建设单位概况</w:t>
      </w:r>
    </w:p>
    <w:p>
      <w:pPr>
        <w:spacing w:line="560" w:lineRule="exact"/>
        <w:ind w:firstLine="560" w:firstLineChars="200"/>
        <w:rPr>
          <w:rFonts w:ascii="宋体" w:cs="宋体"/>
          <w:bCs/>
          <w:color w:val="auto"/>
          <w:kern w:val="0"/>
          <w:sz w:val="28"/>
          <w:szCs w:val="28"/>
          <w:highlight w:val="none"/>
        </w:rPr>
      </w:pPr>
      <w:bookmarkStart w:id="20" w:name="_Toc17367"/>
      <w:r>
        <w:rPr>
          <w:rFonts w:hint="eastAsia" w:ascii="宋体" w:hAnsi="宋体" w:cs="宋体"/>
          <w:bCs/>
          <w:color w:val="auto"/>
          <w:kern w:val="0"/>
          <w:sz w:val="28"/>
          <w:szCs w:val="28"/>
          <w:highlight w:val="none"/>
        </w:rPr>
        <w:t>江苏索普新材料科技有限公司位于中国历史文化名城镇江东郊，地处黄金水道长江。公司主业为精细化工产品及基本化工原材料生产。</w:t>
      </w:r>
    </w:p>
    <w:p>
      <w:pPr>
        <w:spacing w:line="560" w:lineRule="exact"/>
        <w:ind w:firstLine="560" w:firstLineChars="200"/>
        <w:rPr>
          <w:rFonts w:ascii="宋体" w:cs="宋体"/>
          <w:bCs/>
          <w:color w:val="auto"/>
          <w:kern w:val="0"/>
          <w:sz w:val="28"/>
          <w:szCs w:val="28"/>
          <w:highlight w:val="none"/>
        </w:rPr>
      </w:pPr>
      <w:r>
        <w:rPr>
          <w:rFonts w:hint="eastAsia" w:ascii="宋体" w:hAnsi="宋体" w:cs="宋体"/>
          <w:bCs/>
          <w:color w:val="auto"/>
          <w:kern w:val="0"/>
          <w:sz w:val="28"/>
          <w:szCs w:val="28"/>
          <w:highlight w:val="none"/>
        </w:rPr>
        <w:t>公司前身江苏东普新材料科技有限公司组建成立于</w:t>
      </w:r>
      <w:r>
        <w:rPr>
          <w:rFonts w:ascii="宋体" w:hAnsi="宋体" w:cs="宋体"/>
          <w:bCs/>
          <w:color w:val="auto"/>
          <w:kern w:val="0"/>
          <w:sz w:val="28"/>
          <w:szCs w:val="28"/>
          <w:highlight w:val="none"/>
        </w:rPr>
        <w:t>2015</w:t>
      </w:r>
      <w:r>
        <w:rPr>
          <w:rFonts w:hint="eastAsia" w:ascii="宋体" w:hAnsi="宋体" w:cs="宋体"/>
          <w:bCs/>
          <w:color w:val="auto"/>
          <w:kern w:val="0"/>
          <w:sz w:val="28"/>
          <w:szCs w:val="28"/>
          <w:highlight w:val="none"/>
        </w:rPr>
        <w:t>年底，</w:t>
      </w:r>
      <w:r>
        <w:rPr>
          <w:rFonts w:ascii="宋体" w:hAnsi="宋体" w:cs="宋体"/>
          <w:bCs/>
          <w:color w:val="auto"/>
          <w:kern w:val="0"/>
          <w:sz w:val="28"/>
          <w:szCs w:val="28"/>
          <w:highlight w:val="none"/>
        </w:rPr>
        <w:t>2021</w:t>
      </w:r>
      <w:r>
        <w:rPr>
          <w:rFonts w:hint="eastAsia" w:ascii="宋体" w:hAnsi="宋体" w:cs="宋体"/>
          <w:bCs/>
          <w:color w:val="auto"/>
          <w:kern w:val="0"/>
          <w:sz w:val="28"/>
          <w:szCs w:val="28"/>
          <w:highlight w:val="none"/>
        </w:rPr>
        <w:t>年</w:t>
      </w:r>
      <w:r>
        <w:rPr>
          <w:rFonts w:ascii="宋体" w:hAnsi="宋体" w:cs="宋体"/>
          <w:bCs/>
          <w:color w:val="auto"/>
          <w:kern w:val="0"/>
          <w:sz w:val="28"/>
          <w:szCs w:val="28"/>
          <w:highlight w:val="none"/>
        </w:rPr>
        <w:t>10</w:t>
      </w:r>
      <w:r>
        <w:rPr>
          <w:rFonts w:hint="eastAsia" w:ascii="宋体" w:hAnsi="宋体" w:cs="宋体"/>
          <w:bCs/>
          <w:color w:val="auto"/>
          <w:kern w:val="0"/>
          <w:sz w:val="28"/>
          <w:szCs w:val="28"/>
          <w:highlight w:val="none"/>
        </w:rPr>
        <w:t>月被江苏索普化工股份有限公司收购，并更名为江苏索普新材料科技有限公司。</w:t>
      </w:r>
    </w:p>
    <w:p>
      <w:pPr>
        <w:spacing w:line="560" w:lineRule="exact"/>
        <w:ind w:firstLine="560" w:firstLineChars="200"/>
        <w:rPr>
          <w:rFonts w:ascii="宋体" w:cs="宋体"/>
          <w:bCs/>
          <w:color w:val="auto"/>
          <w:kern w:val="0"/>
          <w:sz w:val="28"/>
          <w:szCs w:val="28"/>
          <w:highlight w:val="none"/>
        </w:rPr>
      </w:pPr>
      <w:r>
        <w:rPr>
          <w:rFonts w:hint="eastAsia" w:ascii="宋体" w:hAnsi="宋体" w:cs="宋体"/>
          <w:bCs/>
          <w:color w:val="auto"/>
          <w:kern w:val="0"/>
          <w:sz w:val="28"/>
          <w:szCs w:val="28"/>
          <w:highlight w:val="none"/>
        </w:rPr>
        <w:t>作为镇江新区新材料产业园的基础化工产品供应平台，索普新材料为园区产业链下游提供硫酸、发烟酸、盐酸、液碱、氢气、氯气等化工生产各项原料，下游客户包括赢创新安、江南化工、超跃化学、高鹏药业等园区重要生产企业。</w:t>
      </w:r>
    </w:p>
    <w:p>
      <w:pPr>
        <w:spacing w:line="560" w:lineRule="exact"/>
        <w:ind w:firstLine="560" w:firstLineChars="200"/>
        <w:rPr>
          <w:rFonts w:ascii="宋体" w:cs="宋体"/>
          <w:bCs/>
          <w:color w:val="auto"/>
          <w:kern w:val="0"/>
          <w:sz w:val="28"/>
          <w:szCs w:val="28"/>
          <w:highlight w:val="none"/>
        </w:rPr>
      </w:pPr>
      <w:r>
        <w:rPr>
          <w:rFonts w:hint="eastAsia" w:ascii="宋体" w:hAnsi="宋体" w:cs="宋体"/>
          <w:bCs/>
          <w:color w:val="auto"/>
          <w:kern w:val="0"/>
          <w:sz w:val="28"/>
          <w:szCs w:val="28"/>
          <w:highlight w:val="none"/>
        </w:rPr>
        <w:t>公司现总资产规模</w:t>
      </w:r>
      <w:r>
        <w:rPr>
          <w:rFonts w:ascii="宋体" w:hAnsi="宋体" w:cs="宋体"/>
          <w:bCs/>
          <w:color w:val="auto"/>
          <w:kern w:val="0"/>
          <w:sz w:val="28"/>
          <w:szCs w:val="28"/>
          <w:highlight w:val="none"/>
        </w:rPr>
        <w:t>9.4</w:t>
      </w:r>
      <w:r>
        <w:rPr>
          <w:rFonts w:hint="eastAsia" w:ascii="宋体" w:hAnsi="宋体" w:cs="宋体"/>
          <w:bCs/>
          <w:color w:val="auto"/>
          <w:kern w:val="0"/>
          <w:sz w:val="28"/>
          <w:szCs w:val="28"/>
          <w:highlight w:val="none"/>
        </w:rPr>
        <w:t>亿元，拥有产业链：</w:t>
      </w:r>
      <w:r>
        <w:rPr>
          <w:rFonts w:ascii="宋体" w:hAnsi="宋体" w:cs="宋体"/>
          <w:bCs/>
          <w:color w:val="auto"/>
          <w:kern w:val="0"/>
          <w:sz w:val="28"/>
          <w:szCs w:val="28"/>
          <w:highlight w:val="none"/>
        </w:rPr>
        <w:t>60</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年硫磺制酸及下游技改产品装置，</w:t>
      </w:r>
      <w:r>
        <w:rPr>
          <w:rFonts w:ascii="宋体" w:hAnsi="宋体" w:cs="宋体"/>
          <w:bCs/>
          <w:color w:val="auto"/>
          <w:kern w:val="0"/>
          <w:sz w:val="28"/>
          <w:szCs w:val="28"/>
          <w:highlight w:val="none"/>
        </w:rPr>
        <w:t>20</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年离子膜烧碱装置，</w:t>
      </w:r>
      <w:r>
        <w:rPr>
          <w:rFonts w:ascii="宋体" w:hAnsi="宋体" w:cs="宋体"/>
          <w:bCs/>
          <w:color w:val="auto"/>
          <w:kern w:val="0"/>
          <w:sz w:val="28"/>
          <w:szCs w:val="28"/>
          <w:highlight w:val="none"/>
        </w:rPr>
        <w:t>1.3</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年己二酸酯化装置，</w:t>
      </w:r>
      <w:r>
        <w:rPr>
          <w:rFonts w:ascii="宋体" w:hAnsi="宋体" w:cs="宋体"/>
          <w:bCs/>
          <w:color w:val="auto"/>
          <w:kern w:val="0"/>
          <w:sz w:val="28"/>
          <w:szCs w:val="28"/>
          <w:highlight w:val="none"/>
        </w:rPr>
        <w:t>3.4</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年二氯苯装置，</w:t>
      </w:r>
      <w:r>
        <w:rPr>
          <w:rFonts w:ascii="宋体" w:hAnsi="宋体" w:cs="宋体"/>
          <w:bCs/>
          <w:color w:val="auto"/>
          <w:kern w:val="0"/>
          <w:sz w:val="28"/>
          <w:szCs w:val="28"/>
          <w:highlight w:val="none"/>
        </w:rPr>
        <w:t>5.5</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年空分装置，</w:t>
      </w:r>
      <w:r>
        <w:rPr>
          <w:rFonts w:ascii="宋体" w:hAnsi="宋体" w:cs="宋体"/>
          <w:bCs/>
          <w:color w:val="auto"/>
          <w:kern w:val="0"/>
          <w:sz w:val="28"/>
          <w:szCs w:val="28"/>
          <w:highlight w:val="none"/>
        </w:rPr>
        <w:t xml:space="preserve"> 5</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年氯乙酸装置。</w:t>
      </w:r>
    </w:p>
    <w:p>
      <w:pPr>
        <w:spacing w:line="560" w:lineRule="exact"/>
        <w:ind w:firstLine="560" w:firstLineChars="200"/>
        <w:rPr>
          <w:rFonts w:ascii="宋体" w:cs="宋体"/>
          <w:bCs/>
          <w:color w:val="auto"/>
          <w:kern w:val="0"/>
          <w:sz w:val="28"/>
          <w:szCs w:val="28"/>
          <w:highlight w:val="none"/>
        </w:rPr>
      </w:pPr>
      <w:r>
        <w:rPr>
          <w:rFonts w:hint="eastAsia" w:ascii="宋体" w:hAnsi="宋体" w:cs="宋体"/>
          <w:bCs/>
          <w:color w:val="auto"/>
          <w:kern w:val="0"/>
          <w:sz w:val="28"/>
          <w:szCs w:val="28"/>
          <w:highlight w:val="none"/>
        </w:rPr>
        <w:t>公司坚持走科技创新生产之路，秉持</w:t>
      </w:r>
      <w:r>
        <w:rPr>
          <w:rFonts w:ascii="宋体" w:hAnsi="宋体" w:cs="宋体"/>
          <w:bCs/>
          <w:color w:val="auto"/>
          <w:kern w:val="0"/>
          <w:sz w:val="28"/>
          <w:szCs w:val="28"/>
          <w:highlight w:val="none"/>
        </w:rPr>
        <w:t xml:space="preserve"> </w:t>
      </w:r>
      <w:r>
        <w:rPr>
          <w:rFonts w:hint="eastAsia" w:ascii="宋体" w:hAnsi="宋体" w:cs="宋体"/>
          <w:bCs/>
          <w:color w:val="auto"/>
          <w:kern w:val="0"/>
          <w:sz w:val="28"/>
          <w:szCs w:val="28"/>
          <w:highlight w:val="none"/>
        </w:rPr>
        <w:t>“管理创新、精简高效、效益至上、权责统一”的管理理念，后续将加大研发力度，推进甘氨酸等项目，继续引进人才，争创国家级高新技术企业。公司现有职工</w:t>
      </w:r>
      <w:r>
        <w:rPr>
          <w:rFonts w:ascii="宋体" w:hAnsi="宋体" w:cs="宋体"/>
          <w:bCs/>
          <w:color w:val="auto"/>
          <w:kern w:val="0"/>
          <w:sz w:val="28"/>
          <w:szCs w:val="28"/>
          <w:highlight w:val="none"/>
        </w:rPr>
        <w:t>444</w:t>
      </w:r>
      <w:r>
        <w:rPr>
          <w:rFonts w:hint="eastAsia" w:ascii="宋体" w:hAnsi="宋体" w:cs="宋体"/>
          <w:bCs/>
          <w:color w:val="auto"/>
          <w:kern w:val="0"/>
          <w:sz w:val="28"/>
          <w:szCs w:val="28"/>
          <w:highlight w:val="none"/>
        </w:rPr>
        <w:t>人，其中研究生</w:t>
      </w:r>
      <w:r>
        <w:rPr>
          <w:rFonts w:ascii="宋体" w:hAnsi="宋体" w:cs="宋体"/>
          <w:bCs/>
          <w:color w:val="auto"/>
          <w:kern w:val="0"/>
          <w:sz w:val="28"/>
          <w:szCs w:val="28"/>
          <w:highlight w:val="none"/>
        </w:rPr>
        <w:t>4</w:t>
      </w:r>
      <w:r>
        <w:rPr>
          <w:rFonts w:hint="eastAsia" w:ascii="宋体" w:hAnsi="宋体" w:cs="宋体"/>
          <w:bCs/>
          <w:color w:val="auto"/>
          <w:kern w:val="0"/>
          <w:sz w:val="28"/>
          <w:szCs w:val="28"/>
          <w:highlight w:val="none"/>
        </w:rPr>
        <w:t>人，本科学历</w:t>
      </w:r>
      <w:r>
        <w:rPr>
          <w:rFonts w:ascii="宋体" w:hAnsi="宋体" w:cs="宋体"/>
          <w:bCs/>
          <w:color w:val="auto"/>
          <w:kern w:val="0"/>
          <w:sz w:val="28"/>
          <w:szCs w:val="28"/>
          <w:highlight w:val="none"/>
        </w:rPr>
        <w:t>85</w:t>
      </w:r>
      <w:r>
        <w:rPr>
          <w:rFonts w:hint="eastAsia" w:ascii="宋体" w:hAnsi="宋体" w:cs="宋体"/>
          <w:bCs/>
          <w:color w:val="auto"/>
          <w:kern w:val="0"/>
          <w:sz w:val="28"/>
          <w:szCs w:val="28"/>
          <w:highlight w:val="none"/>
        </w:rPr>
        <w:t>人，大专学历</w:t>
      </w:r>
      <w:r>
        <w:rPr>
          <w:rFonts w:ascii="宋体" w:hAnsi="宋体" w:cs="宋体"/>
          <w:bCs/>
          <w:color w:val="auto"/>
          <w:kern w:val="0"/>
          <w:sz w:val="28"/>
          <w:szCs w:val="28"/>
          <w:highlight w:val="none"/>
        </w:rPr>
        <w:t>173</w:t>
      </w:r>
      <w:r>
        <w:rPr>
          <w:rFonts w:hint="eastAsia" w:ascii="宋体" w:hAnsi="宋体" w:cs="宋体"/>
          <w:bCs/>
          <w:color w:val="auto"/>
          <w:kern w:val="0"/>
          <w:sz w:val="28"/>
          <w:szCs w:val="28"/>
          <w:highlight w:val="none"/>
        </w:rPr>
        <w:t>人，专业技术人员</w:t>
      </w:r>
      <w:r>
        <w:rPr>
          <w:rFonts w:ascii="宋体" w:hAnsi="宋体" w:cs="宋体"/>
          <w:bCs/>
          <w:color w:val="auto"/>
          <w:kern w:val="0"/>
          <w:sz w:val="28"/>
          <w:szCs w:val="28"/>
          <w:highlight w:val="none"/>
        </w:rPr>
        <w:t>100</w:t>
      </w:r>
      <w:r>
        <w:rPr>
          <w:rFonts w:hint="eastAsia" w:ascii="宋体" w:hAnsi="宋体" w:cs="宋体"/>
          <w:bCs/>
          <w:color w:val="auto"/>
          <w:kern w:val="0"/>
          <w:sz w:val="28"/>
          <w:szCs w:val="28"/>
          <w:highlight w:val="none"/>
        </w:rPr>
        <w:t>余人。</w:t>
      </w:r>
    </w:p>
    <w:p>
      <w:pPr>
        <w:pStyle w:val="4"/>
        <w:spacing w:before="0" w:after="0" w:line="560" w:lineRule="exact"/>
        <w:ind w:firstLine="562"/>
        <w:rPr>
          <w:rFonts w:ascii="宋体" w:cs="宋体"/>
          <w:b w:val="0"/>
          <w:bCs/>
          <w:color w:val="auto"/>
          <w:sz w:val="28"/>
          <w:szCs w:val="28"/>
          <w:highlight w:val="none"/>
        </w:rPr>
      </w:pPr>
      <w:r>
        <w:rPr>
          <w:rFonts w:ascii="宋体" w:hAnsi="宋体" w:cs="宋体"/>
          <w:b w:val="0"/>
          <w:bCs/>
          <w:color w:val="auto"/>
          <w:sz w:val="28"/>
          <w:szCs w:val="28"/>
          <w:highlight w:val="none"/>
        </w:rPr>
        <w:t xml:space="preserve">1.1.3 </w:t>
      </w:r>
      <w:r>
        <w:rPr>
          <w:rFonts w:hint="eastAsia" w:ascii="宋体" w:hAnsi="宋体" w:cs="宋体"/>
          <w:b w:val="0"/>
          <w:bCs/>
          <w:color w:val="auto"/>
          <w:sz w:val="28"/>
          <w:szCs w:val="28"/>
          <w:highlight w:val="none"/>
        </w:rPr>
        <w:t>可行性研究编制原则</w:t>
      </w:r>
      <w:bookmarkEnd w:id="20"/>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1</w:t>
      </w:r>
      <w:r>
        <w:rPr>
          <w:rFonts w:hint="eastAsia" w:ascii="宋体" w:hAnsi="宋体" w:cs="宋体"/>
          <w:bCs/>
          <w:color w:val="auto"/>
          <w:sz w:val="28"/>
          <w:szCs w:val="28"/>
          <w:highlight w:val="none"/>
        </w:rPr>
        <w:t>）以技术进步为先导，选择的工艺技术先进、成熟、可靠，保证项目实施后，能安全、稳定、满负荷、长周期运行。</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）所选择的技术方案是优化的方案，以最大程度减少投资，降低成本。</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3</w:t>
      </w:r>
      <w:r>
        <w:rPr>
          <w:rFonts w:hint="eastAsia" w:ascii="宋体" w:hAnsi="宋体" w:cs="宋体"/>
          <w:bCs/>
          <w:color w:val="auto"/>
          <w:sz w:val="28"/>
          <w:szCs w:val="28"/>
          <w:highlight w:val="none"/>
        </w:rPr>
        <w:t>）核心设备采用国内先进技术和装备，以实现工厂低消耗、高可靠性、长周期运行。</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4</w:t>
      </w:r>
      <w:r>
        <w:rPr>
          <w:rFonts w:hint="eastAsia" w:ascii="宋体" w:hAnsi="宋体" w:cs="宋体"/>
          <w:bCs/>
          <w:color w:val="auto"/>
          <w:sz w:val="28"/>
          <w:szCs w:val="28"/>
          <w:highlight w:val="none"/>
        </w:rPr>
        <w:t>）充分依托厂区现有的公用工程设施、社会力量和自然资源，包括利用消防设施、分析化验设施等；努力减少工程项目投资，降低生产成本。</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5</w:t>
      </w:r>
      <w:r>
        <w:rPr>
          <w:rFonts w:hint="eastAsia" w:ascii="宋体" w:hAnsi="宋体" w:cs="宋体"/>
          <w:bCs/>
          <w:color w:val="auto"/>
          <w:sz w:val="28"/>
          <w:szCs w:val="28"/>
          <w:highlight w:val="none"/>
        </w:rPr>
        <w:t>）严格执行国家及有关部委、当地政府颁布的有关法令法规及标准规范，贯彻落实国家环保及安全卫生的有关政策和法规，做到工程建设、环境保护和安全卫生“三同时”，创建优质环保工程。</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6</w:t>
      </w:r>
      <w:r>
        <w:rPr>
          <w:rFonts w:hint="eastAsia" w:ascii="宋体" w:hAnsi="宋体" w:cs="宋体"/>
          <w:bCs/>
          <w:color w:val="auto"/>
          <w:sz w:val="28"/>
          <w:szCs w:val="28"/>
          <w:highlight w:val="none"/>
        </w:rPr>
        <w:t>）设计贯彻“装置布置一体化、生产装置露天化、建构筑物轻型化”等基本原则。</w:t>
      </w:r>
    </w:p>
    <w:p>
      <w:pPr>
        <w:pStyle w:val="4"/>
        <w:spacing w:before="0" w:after="0" w:line="560" w:lineRule="exact"/>
        <w:ind w:firstLine="560" w:firstLineChars="200"/>
        <w:rPr>
          <w:rFonts w:ascii="宋体" w:cs="宋体"/>
          <w:b w:val="0"/>
          <w:bCs/>
          <w:color w:val="auto"/>
          <w:sz w:val="28"/>
          <w:szCs w:val="28"/>
          <w:highlight w:val="none"/>
        </w:rPr>
      </w:pPr>
      <w:bookmarkStart w:id="21" w:name="_Toc8384"/>
      <w:r>
        <w:rPr>
          <w:rFonts w:ascii="宋体" w:hAnsi="宋体" w:cs="宋体"/>
          <w:b w:val="0"/>
          <w:bCs/>
          <w:color w:val="auto"/>
          <w:sz w:val="28"/>
          <w:szCs w:val="28"/>
          <w:highlight w:val="none"/>
        </w:rPr>
        <w:t xml:space="preserve">1.1.4 </w:t>
      </w:r>
      <w:r>
        <w:rPr>
          <w:rFonts w:hint="eastAsia" w:ascii="宋体" w:hAnsi="宋体" w:cs="宋体"/>
          <w:b w:val="0"/>
          <w:bCs/>
          <w:color w:val="auto"/>
          <w:sz w:val="28"/>
          <w:szCs w:val="28"/>
          <w:highlight w:val="none"/>
        </w:rPr>
        <w:t>编制依据</w:t>
      </w:r>
      <w:bookmarkEnd w:id="21"/>
    </w:p>
    <w:p>
      <w:pPr>
        <w:spacing w:line="560" w:lineRule="exact"/>
        <w:ind w:firstLine="560" w:firstLineChars="200"/>
        <w:rPr>
          <w:rFonts w:ascii="宋体" w:cs="宋体"/>
          <w:bCs/>
          <w:color w:val="auto"/>
          <w:sz w:val="28"/>
          <w:szCs w:val="28"/>
          <w:highlight w:val="none"/>
        </w:rPr>
      </w:pPr>
      <w:bookmarkStart w:id="22" w:name="OLE_LINK1"/>
      <w:bookmarkStart w:id="23" w:name="OLE_LINK2"/>
      <w:r>
        <w:rPr>
          <w:rFonts w:hint="eastAsia" w:ascii="宋体" w:hAnsi="宋体" w:cs="宋体"/>
          <w:bCs/>
          <w:color w:val="auto"/>
          <w:sz w:val="28"/>
          <w:szCs w:val="28"/>
          <w:highlight w:val="none"/>
        </w:rPr>
        <w:t>（</w:t>
      </w:r>
      <w:r>
        <w:rPr>
          <w:rFonts w:ascii="宋体" w:hAnsi="宋体" w:cs="宋体"/>
          <w:bCs/>
          <w:color w:val="auto"/>
          <w:sz w:val="28"/>
          <w:szCs w:val="28"/>
          <w:highlight w:val="none"/>
        </w:rPr>
        <w:t>1</w:t>
      </w:r>
      <w:r>
        <w:rPr>
          <w:rFonts w:hint="eastAsia" w:ascii="宋体" w:hAnsi="宋体" w:cs="宋体"/>
          <w:bCs/>
          <w:color w:val="auto"/>
          <w:sz w:val="28"/>
          <w:szCs w:val="28"/>
          <w:highlight w:val="none"/>
        </w:rPr>
        <w:t>）江苏索普工程科技有限公司与江苏索普新材料科技有限公司签订的江苏索普新材料科技有限公司</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年次氯酸钠项目</w:t>
      </w:r>
      <w:r>
        <w:rPr>
          <w:rFonts w:hint="eastAsia" w:ascii="宋体" w:hAnsi="宋体" w:cs="宋体"/>
          <w:bCs/>
          <w:color w:val="auto"/>
          <w:sz w:val="28"/>
          <w:szCs w:val="28"/>
          <w:highlight w:val="none"/>
        </w:rPr>
        <w:t>可行性研究报告《技术咨询合同书》。</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）江苏</w:t>
      </w:r>
      <w:bookmarkEnd w:id="22"/>
      <w:bookmarkEnd w:id="23"/>
      <w:r>
        <w:rPr>
          <w:rFonts w:hint="eastAsia" w:ascii="宋体" w:hAnsi="宋体" w:cs="宋体"/>
          <w:bCs/>
          <w:color w:val="auto"/>
          <w:sz w:val="28"/>
          <w:szCs w:val="28"/>
          <w:highlight w:val="none"/>
        </w:rPr>
        <w:t>索普新材料科技有限公司提供的有关设计基础资料。</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3</w:t>
      </w:r>
      <w:r>
        <w:rPr>
          <w:rFonts w:hint="eastAsia" w:ascii="宋体" w:hAnsi="宋体" w:cs="宋体"/>
          <w:bCs/>
          <w:color w:val="auto"/>
          <w:sz w:val="28"/>
          <w:szCs w:val="28"/>
          <w:highlight w:val="none"/>
        </w:rPr>
        <w:t>）《化工建设项目可行性研究报告内容和深度的规定》。</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4</w:t>
      </w:r>
      <w:r>
        <w:rPr>
          <w:rFonts w:hint="eastAsia" w:ascii="宋体" w:hAnsi="宋体" w:cs="宋体"/>
          <w:bCs/>
          <w:color w:val="auto"/>
          <w:sz w:val="28"/>
          <w:szCs w:val="28"/>
          <w:highlight w:val="none"/>
        </w:rPr>
        <w:t>）《建设项目经济评价方法与参数》（第三版）。</w:t>
      </w:r>
    </w:p>
    <w:p>
      <w:pPr>
        <w:spacing w:line="560" w:lineRule="exact"/>
        <w:ind w:firstLine="560" w:firstLineChars="200"/>
        <w:jc w:val="left"/>
        <w:rPr>
          <w:rFonts w:ascii="宋体" w:cs="宋体"/>
          <w:bCs/>
          <w:color w:val="auto"/>
          <w:sz w:val="28"/>
          <w:szCs w:val="28"/>
          <w:highlight w:val="none"/>
        </w:rPr>
      </w:pPr>
      <w:bookmarkStart w:id="24" w:name="_Toc6648"/>
      <w:r>
        <w:rPr>
          <w:rFonts w:ascii="宋体" w:hAnsi="宋体" w:cs="宋体"/>
          <w:bCs/>
          <w:color w:val="auto"/>
          <w:sz w:val="28"/>
          <w:szCs w:val="28"/>
          <w:highlight w:val="none"/>
        </w:rPr>
        <w:t xml:space="preserve">1.1.5 </w:t>
      </w:r>
      <w:r>
        <w:rPr>
          <w:rFonts w:hint="eastAsia" w:ascii="宋体" w:hAnsi="宋体" w:cs="宋体"/>
          <w:bCs/>
          <w:color w:val="auto"/>
          <w:sz w:val="28"/>
          <w:szCs w:val="28"/>
          <w:highlight w:val="none"/>
        </w:rPr>
        <w:t>项目目的和意义</w:t>
      </w:r>
      <w:bookmarkEnd w:id="24"/>
    </w:p>
    <w:p>
      <w:pPr>
        <w:spacing w:line="560" w:lineRule="exact"/>
        <w:ind w:firstLine="560" w:firstLineChars="200"/>
        <w:jc w:val="left"/>
        <w:rPr>
          <w:rFonts w:ascii="宋体" w:cs="宋体"/>
          <w:bCs/>
          <w:color w:val="auto"/>
          <w:sz w:val="28"/>
          <w:szCs w:val="28"/>
          <w:highlight w:val="none"/>
        </w:rPr>
      </w:pPr>
      <w:bookmarkStart w:id="25" w:name="_Toc360_WPSOffice_Level2"/>
      <w:bookmarkStart w:id="26" w:name="_Toc24743"/>
      <w:r>
        <w:rPr>
          <w:rFonts w:ascii="宋体" w:hAnsi="宋体" w:cs="宋体"/>
          <w:bCs/>
          <w:color w:val="auto"/>
          <w:sz w:val="28"/>
          <w:szCs w:val="28"/>
          <w:highlight w:val="none"/>
        </w:rPr>
        <w:t xml:space="preserve"> 8</w:t>
      </w:r>
      <w:r>
        <w:rPr>
          <w:rFonts w:hint="eastAsia" w:ascii="宋体" w:hAnsi="宋体" w:cs="宋体"/>
          <w:bCs/>
          <w:color w:val="auto"/>
          <w:sz w:val="28"/>
          <w:szCs w:val="28"/>
          <w:highlight w:val="none"/>
        </w:rPr>
        <w:t>万吨</w:t>
      </w:r>
      <w:r>
        <w:rPr>
          <w:rFonts w:ascii="宋体" w:hAnsi="宋体" w:cs="宋体"/>
          <w:bCs/>
          <w:color w:val="auto"/>
          <w:sz w:val="28"/>
          <w:szCs w:val="28"/>
          <w:highlight w:val="none"/>
        </w:rPr>
        <w:t>/</w:t>
      </w:r>
      <w:r>
        <w:rPr>
          <w:rFonts w:hint="eastAsia" w:ascii="宋体" w:hAnsi="宋体" w:cs="宋体"/>
          <w:bCs/>
          <w:color w:val="auto"/>
          <w:sz w:val="28"/>
          <w:szCs w:val="28"/>
          <w:highlight w:val="none"/>
        </w:rPr>
        <w:t>年次氯酸钠项目建设后，通过将氯气进一步消化，减轻因氯气销售压力造成系统不断调整的问题，利于系统稳定运行，还增加产品多样性，从而提升企业竞争力。</w:t>
      </w:r>
    </w:p>
    <w:p>
      <w:pPr>
        <w:pStyle w:val="32"/>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对照《产业结构调整指导目录（</w:t>
      </w:r>
      <w:r>
        <w:rPr>
          <w:rFonts w:ascii="宋体" w:hAnsi="宋体" w:cs="宋体"/>
          <w:bCs/>
          <w:color w:val="auto"/>
          <w:sz w:val="28"/>
          <w:szCs w:val="28"/>
          <w:highlight w:val="none"/>
        </w:rPr>
        <w:t>2019</w:t>
      </w:r>
      <w:r>
        <w:rPr>
          <w:rFonts w:hint="eastAsia" w:ascii="宋体" w:hAnsi="宋体" w:cs="宋体"/>
          <w:bCs/>
          <w:color w:val="auto"/>
          <w:sz w:val="28"/>
          <w:szCs w:val="28"/>
          <w:highlight w:val="none"/>
        </w:rPr>
        <w:t>年本）》（</w:t>
      </w:r>
      <w:r>
        <w:rPr>
          <w:rFonts w:ascii="宋体" w:hAnsi="宋体" w:cs="宋体"/>
          <w:bCs/>
          <w:color w:val="auto"/>
          <w:sz w:val="28"/>
          <w:szCs w:val="28"/>
          <w:highlight w:val="none"/>
        </w:rPr>
        <w:t>2021</w:t>
      </w:r>
      <w:r>
        <w:rPr>
          <w:rFonts w:hint="eastAsia" w:ascii="宋体" w:hAnsi="宋体" w:cs="宋体"/>
          <w:bCs/>
          <w:color w:val="auto"/>
          <w:sz w:val="28"/>
          <w:szCs w:val="28"/>
          <w:highlight w:val="none"/>
        </w:rPr>
        <w:t>年修订），本项目不涉及第二类限制类、第三类淘汰类生产项目，为允许类生产项目，符合国家产业政策要求。</w:t>
      </w:r>
    </w:p>
    <w:p>
      <w:pPr>
        <w:pStyle w:val="32"/>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经查省政府办公厅转发省经济和信息化委省发展改革委</w:t>
      </w:r>
      <w:r>
        <w:rPr>
          <w:rFonts w:hint="eastAsia" w:ascii="宋体" w:hAnsi="宋体" w:cs="宋体"/>
          <w:bCs/>
          <w:color w:val="auto"/>
          <w:sz w:val="28"/>
          <w:szCs w:val="28"/>
          <w:highlight w:val="none"/>
        </w:rPr>
        <w:t>《江苏省工业和信息产业结构调整限制淘汰目录和能耗限额的通知》（苏政办发</w:t>
      </w:r>
      <w:r>
        <w:rPr>
          <w:rFonts w:ascii="宋体" w:hAnsi="宋体" w:cs="宋体"/>
          <w:bCs/>
          <w:color w:val="auto"/>
          <w:sz w:val="28"/>
          <w:szCs w:val="28"/>
          <w:highlight w:val="none"/>
        </w:rPr>
        <w:t>[2015]118</w:t>
      </w:r>
      <w:r>
        <w:rPr>
          <w:rFonts w:hint="eastAsia" w:ascii="宋体" w:hAnsi="宋体" w:cs="宋体"/>
          <w:bCs/>
          <w:color w:val="auto"/>
          <w:sz w:val="28"/>
          <w:szCs w:val="28"/>
          <w:highlight w:val="none"/>
        </w:rPr>
        <w:t>号）以及《江苏省化工产业结构调整限制、淘汰和禁止目录》（苏政办发〔</w:t>
      </w:r>
      <w:r>
        <w:rPr>
          <w:rFonts w:ascii="宋体" w:hAnsi="宋体" w:cs="宋体"/>
          <w:bCs/>
          <w:color w:val="auto"/>
          <w:sz w:val="28"/>
          <w:szCs w:val="28"/>
          <w:highlight w:val="none"/>
        </w:rPr>
        <w:t>2020</w:t>
      </w:r>
      <w:r>
        <w:rPr>
          <w:rFonts w:hint="eastAsia" w:ascii="宋体" w:hAnsi="宋体" w:cs="宋体"/>
          <w:bCs/>
          <w:color w:val="auto"/>
          <w:sz w:val="28"/>
          <w:szCs w:val="28"/>
          <w:highlight w:val="none"/>
        </w:rPr>
        <w:t>〕</w:t>
      </w:r>
      <w:r>
        <w:rPr>
          <w:rFonts w:ascii="宋体" w:hAnsi="宋体" w:cs="宋体"/>
          <w:bCs/>
          <w:color w:val="auto"/>
          <w:sz w:val="28"/>
          <w:szCs w:val="28"/>
          <w:highlight w:val="none"/>
        </w:rPr>
        <w:t>32</w:t>
      </w:r>
      <w:r>
        <w:rPr>
          <w:rFonts w:hint="eastAsia" w:ascii="宋体" w:hAnsi="宋体" w:cs="宋体"/>
          <w:bCs/>
          <w:color w:val="auto"/>
          <w:sz w:val="28"/>
          <w:szCs w:val="28"/>
          <w:highlight w:val="none"/>
        </w:rPr>
        <w:t>号，</w:t>
      </w:r>
      <w:r>
        <w:rPr>
          <w:rFonts w:hint="eastAsia" w:ascii="宋体" w:hAnsi="宋体" w:cs="宋体"/>
          <w:bCs/>
          <w:color w:val="auto"/>
          <w:sz w:val="28"/>
          <w:szCs w:val="28"/>
          <w:highlight w:val="none"/>
        </w:rPr>
        <w:t>本项目不属于其中限制类和淘汰类，符合地方产业政策要求。</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本项目符合国家产业政策，对于丰富公司产品结构，延伸氯碱产业链，提高产品附加值，改善周边生态环境具有重要的经济意义。</w:t>
      </w:r>
    </w:p>
    <w:p>
      <w:pPr>
        <w:pStyle w:val="3"/>
        <w:spacing w:before="0" w:after="0" w:line="560" w:lineRule="exact"/>
        <w:ind w:firstLine="560" w:firstLineChars="200"/>
        <w:rPr>
          <w:rFonts w:ascii="宋体" w:hAnsi="宋体" w:eastAsia="宋体" w:cs="宋体"/>
          <w:b w:val="0"/>
          <w:bCs/>
          <w:color w:val="auto"/>
          <w:sz w:val="28"/>
          <w:szCs w:val="28"/>
          <w:highlight w:val="none"/>
        </w:rPr>
      </w:pPr>
      <w:bookmarkStart w:id="27" w:name="_Toc9387"/>
      <w:bookmarkStart w:id="28" w:name="_Toc32718"/>
      <w:bookmarkStart w:id="29" w:name="_Toc16795"/>
      <w:bookmarkStart w:id="30" w:name="_Toc11612"/>
      <w:r>
        <w:rPr>
          <w:rFonts w:ascii="宋体" w:hAnsi="宋体" w:eastAsia="宋体" w:cs="宋体"/>
          <w:b w:val="0"/>
          <w:bCs/>
          <w:color w:val="auto"/>
          <w:sz w:val="28"/>
          <w:szCs w:val="28"/>
          <w:highlight w:val="none"/>
        </w:rPr>
        <w:t xml:space="preserve">1.2 </w:t>
      </w:r>
      <w:r>
        <w:rPr>
          <w:rFonts w:hint="eastAsia" w:ascii="宋体" w:hAnsi="宋体" w:eastAsia="宋体" w:cs="宋体"/>
          <w:b w:val="0"/>
          <w:bCs/>
          <w:color w:val="auto"/>
          <w:sz w:val="28"/>
          <w:szCs w:val="28"/>
          <w:highlight w:val="none"/>
        </w:rPr>
        <w:t>项目研究的范围</w:t>
      </w:r>
      <w:bookmarkEnd w:id="25"/>
      <w:bookmarkEnd w:id="26"/>
      <w:bookmarkEnd w:id="27"/>
      <w:bookmarkEnd w:id="28"/>
      <w:bookmarkEnd w:id="29"/>
      <w:bookmarkEnd w:id="30"/>
    </w:p>
    <w:p>
      <w:pPr>
        <w:spacing w:line="560" w:lineRule="exact"/>
        <w:ind w:firstLine="560" w:firstLineChars="200"/>
        <w:jc w:val="left"/>
        <w:rPr>
          <w:rFonts w:ascii="宋体" w:cs="宋体"/>
          <w:bCs/>
          <w:color w:val="auto"/>
          <w:sz w:val="28"/>
          <w:szCs w:val="28"/>
          <w:highlight w:val="none"/>
        </w:rPr>
      </w:pPr>
      <w:bookmarkStart w:id="31" w:name="_Toc3843"/>
      <w:r>
        <w:rPr>
          <w:rFonts w:hint="eastAsia" w:ascii="宋体" w:hAnsi="宋体" w:cs="宋体"/>
          <w:bCs/>
          <w:color w:val="auto"/>
          <w:sz w:val="28"/>
          <w:szCs w:val="28"/>
          <w:highlight w:val="none"/>
        </w:rPr>
        <w:t>本项目研究范围包括</w:t>
      </w:r>
      <w:r>
        <w:rPr>
          <w:rFonts w:ascii="宋体" w:hAnsi="宋体" w:cs="宋体"/>
          <w:bCs/>
          <w:color w:val="auto"/>
          <w:sz w:val="28"/>
          <w:szCs w:val="28"/>
          <w:highlight w:val="none"/>
        </w:rPr>
        <w:t>:</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年次氯酸钠项目</w:t>
      </w:r>
      <w:r>
        <w:rPr>
          <w:rFonts w:hint="eastAsia" w:ascii="宋体" w:hAnsi="宋体" w:cs="宋体"/>
          <w:bCs/>
          <w:color w:val="auto"/>
          <w:sz w:val="28"/>
          <w:szCs w:val="28"/>
          <w:highlight w:val="none"/>
        </w:rPr>
        <w:t>生产装置。</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本可行性研究探求该项目的技术和设备的先进性、可靠性和适用性，并作出评价。</w:t>
      </w:r>
    </w:p>
    <w:p>
      <w:pPr>
        <w:pStyle w:val="3"/>
        <w:spacing w:before="0" w:after="0" w:line="560" w:lineRule="exact"/>
        <w:ind w:firstLine="560" w:firstLineChars="200"/>
        <w:rPr>
          <w:rFonts w:ascii="宋体" w:hAnsi="宋体" w:eastAsia="宋体" w:cs="宋体"/>
          <w:b w:val="0"/>
          <w:bCs/>
          <w:color w:val="auto"/>
          <w:sz w:val="28"/>
          <w:szCs w:val="28"/>
          <w:highlight w:val="none"/>
        </w:rPr>
      </w:pPr>
      <w:bookmarkStart w:id="32" w:name="_Toc26842"/>
      <w:bookmarkStart w:id="33" w:name="_Toc5199"/>
      <w:bookmarkStart w:id="34" w:name="_Toc10598"/>
      <w:bookmarkStart w:id="35" w:name="_Toc11665_WPSOffice_Level2"/>
      <w:bookmarkStart w:id="36" w:name="_Toc8350"/>
      <w:r>
        <w:rPr>
          <w:rFonts w:ascii="宋体" w:hAnsi="宋体" w:eastAsia="宋体" w:cs="宋体"/>
          <w:b w:val="0"/>
          <w:bCs/>
          <w:color w:val="auto"/>
          <w:sz w:val="28"/>
          <w:szCs w:val="28"/>
          <w:highlight w:val="none"/>
        </w:rPr>
        <w:t xml:space="preserve">1.3 </w:t>
      </w:r>
      <w:r>
        <w:rPr>
          <w:rFonts w:hint="eastAsia" w:ascii="宋体" w:hAnsi="宋体" w:eastAsia="宋体" w:cs="宋体"/>
          <w:b w:val="0"/>
          <w:bCs/>
          <w:color w:val="auto"/>
          <w:sz w:val="28"/>
          <w:szCs w:val="28"/>
          <w:highlight w:val="none"/>
        </w:rPr>
        <w:t>主要经济技术指标</w:t>
      </w:r>
      <w:bookmarkEnd w:id="31"/>
      <w:bookmarkEnd w:id="32"/>
      <w:bookmarkEnd w:id="33"/>
      <w:bookmarkEnd w:id="34"/>
      <w:bookmarkEnd w:id="35"/>
      <w:bookmarkEnd w:id="36"/>
    </w:p>
    <w:p>
      <w:pPr>
        <w:pStyle w:val="14"/>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adjustRightInd w:val="0"/>
        <w:snapToGrid w:val="0"/>
        <w:spacing w:line="560" w:lineRule="exact"/>
        <w:jc w:val="center"/>
        <w:rPr>
          <w:rFonts w:ascii="宋体" w:hAnsi="宋体" w:eastAsia="宋体" w:cs="宋体"/>
          <w:bCs/>
          <w:color w:val="auto"/>
          <w:sz w:val="24"/>
          <w:szCs w:val="24"/>
          <w:highlight w:val="none"/>
        </w:rPr>
      </w:pPr>
      <w:r>
        <w:rPr>
          <w:rFonts w:hint="eastAsia" w:ascii="宋体" w:hAnsi="宋体" w:eastAsia="宋体" w:cs="宋体"/>
          <w:bCs/>
          <w:color w:val="auto"/>
          <w:sz w:val="24"/>
          <w:szCs w:val="24"/>
          <w:highlight w:val="none"/>
        </w:rPr>
        <w:t>表</w:t>
      </w:r>
      <w:r>
        <w:rPr>
          <w:rFonts w:ascii="宋体" w:hAnsi="宋体" w:eastAsia="宋体" w:cs="宋体"/>
          <w:bCs/>
          <w:color w:val="auto"/>
          <w:sz w:val="24"/>
          <w:szCs w:val="24"/>
          <w:highlight w:val="none"/>
        </w:rPr>
        <w:t xml:space="preserve">1.3-1 </w:t>
      </w:r>
      <w:r>
        <w:rPr>
          <w:rFonts w:hint="eastAsia" w:ascii="宋体" w:hAnsi="宋体" w:eastAsia="宋体" w:cs="宋体"/>
          <w:bCs/>
          <w:color w:val="auto"/>
          <w:sz w:val="24"/>
          <w:szCs w:val="24"/>
          <w:highlight w:val="none"/>
        </w:rPr>
        <w:t>主要技术经济指标表</w:t>
      </w:r>
    </w:p>
    <w:tbl>
      <w:tblPr>
        <w:tblStyle w:val="1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4"/>
        <w:gridCol w:w="2425"/>
        <w:gridCol w:w="1457"/>
        <w:gridCol w:w="1348"/>
        <w:gridCol w:w="2585"/>
      </w:tblGrid>
      <w:tr>
        <w:tblPrEx>
          <w:tblCellMar>
            <w:top w:w="0" w:type="dxa"/>
            <w:left w:w="108" w:type="dxa"/>
            <w:bottom w:w="0" w:type="dxa"/>
            <w:right w:w="108" w:type="dxa"/>
          </w:tblCellMar>
        </w:tblPrEx>
        <w:trPr>
          <w:trHeight w:val="567" w:hRule="atLeast"/>
          <w:tblHeader/>
          <w:jc w:val="center"/>
        </w:trPr>
        <w:tc>
          <w:tcPr>
            <w:tcW w:w="413" w:type="pct"/>
            <w:vAlign w:val="center"/>
          </w:tcPr>
          <w:p>
            <w:pPr>
              <w:adjustRightInd w:val="0"/>
              <w:snapToGrid w:val="0"/>
              <w:jc w:val="center"/>
              <w:rPr>
                <w:rFonts w:ascii="宋体" w:cs="宋体"/>
                <w:b/>
                <w:color w:val="auto"/>
                <w:szCs w:val="21"/>
                <w:highlight w:val="none"/>
              </w:rPr>
            </w:pPr>
            <w:r>
              <w:rPr>
                <w:rFonts w:hint="eastAsia" w:ascii="宋体" w:hAnsi="宋体" w:cs="宋体"/>
                <w:b/>
                <w:color w:val="auto"/>
                <w:szCs w:val="21"/>
                <w:highlight w:val="none"/>
              </w:rPr>
              <w:t>序号</w:t>
            </w:r>
          </w:p>
        </w:tc>
        <w:tc>
          <w:tcPr>
            <w:tcW w:w="1423" w:type="pct"/>
            <w:vAlign w:val="center"/>
          </w:tcPr>
          <w:p>
            <w:pPr>
              <w:adjustRightInd w:val="0"/>
              <w:snapToGrid w:val="0"/>
              <w:jc w:val="center"/>
              <w:rPr>
                <w:rFonts w:ascii="宋体" w:cs="宋体"/>
                <w:b/>
                <w:color w:val="auto"/>
                <w:szCs w:val="21"/>
                <w:highlight w:val="none"/>
              </w:rPr>
            </w:pPr>
            <w:r>
              <w:rPr>
                <w:rFonts w:hint="eastAsia" w:ascii="宋体" w:hAnsi="宋体" w:cs="宋体"/>
                <w:b/>
                <w:color w:val="auto"/>
                <w:szCs w:val="21"/>
                <w:highlight w:val="none"/>
              </w:rPr>
              <w:t>项目名称</w:t>
            </w:r>
          </w:p>
        </w:tc>
        <w:tc>
          <w:tcPr>
            <w:tcW w:w="855" w:type="pct"/>
            <w:vAlign w:val="center"/>
          </w:tcPr>
          <w:p>
            <w:pPr>
              <w:adjustRightInd w:val="0"/>
              <w:snapToGrid w:val="0"/>
              <w:jc w:val="center"/>
              <w:rPr>
                <w:rFonts w:ascii="宋体" w:cs="宋体"/>
                <w:b/>
                <w:color w:val="auto"/>
                <w:szCs w:val="21"/>
                <w:highlight w:val="none"/>
              </w:rPr>
            </w:pPr>
            <w:r>
              <w:rPr>
                <w:rFonts w:hint="eastAsia" w:ascii="宋体" w:hAnsi="宋体" w:cs="宋体"/>
                <w:b/>
                <w:color w:val="auto"/>
                <w:szCs w:val="21"/>
                <w:highlight w:val="none"/>
              </w:rPr>
              <w:t>单位</w:t>
            </w:r>
          </w:p>
        </w:tc>
        <w:tc>
          <w:tcPr>
            <w:tcW w:w="791" w:type="pct"/>
            <w:vAlign w:val="center"/>
          </w:tcPr>
          <w:p>
            <w:pPr>
              <w:adjustRightInd w:val="0"/>
              <w:snapToGrid w:val="0"/>
              <w:jc w:val="center"/>
              <w:rPr>
                <w:rFonts w:ascii="宋体" w:cs="宋体"/>
                <w:b/>
                <w:color w:val="auto"/>
                <w:szCs w:val="21"/>
                <w:highlight w:val="none"/>
              </w:rPr>
            </w:pPr>
            <w:r>
              <w:rPr>
                <w:rFonts w:hint="eastAsia" w:ascii="宋体" w:hAnsi="宋体" w:cs="宋体"/>
                <w:b/>
                <w:color w:val="auto"/>
                <w:szCs w:val="21"/>
                <w:highlight w:val="none"/>
              </w:rPr>
              <w:t>数量</w:t>
            </w:r>
          </w:p>
        </w:tc>
        <w:tc>
          <w:tcPr>
            <w:tcW w:w="1517" w:type="pct"/>
            <w:vAlign w:val="center"/>
          </w:tcPr>
          <w:p>
            <w:pPr>
              <w:adjustRightInd w:val="0"/>
              <w:snapToGrid w:val="0"/>
              <w:jc w:val="center"/>
              <w:rPr>
                <w:rFonts w:ascii="宋体" w:cs="宋体"/>
                <w:b/>
                <w:color w:val="auto"/>
                <w:szCs w:val="21"/>
                <w:highlight w:val="none"/>
              </w:rPr>
            </w:pPr>
            <w:r>
              <w:rPr>
                <w:rFonts w:hint="eastAsia" w:ascii="宋体" w:hAnsi="宋体" w:cs="宋体"/>
                <w:b/>
                <w:color w:val="auto"/>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color w:val="auto"/>
                <w:szCs w:val="21"/>
                <w:highlight w:val="none"/>
              </w:rPr>
            </w:pPr>
            <w:r>
              <w:rPr>
                <w:rFonts w:hint="eastAsia" w:ascii="宋体" w:hAnsi="宋体" w:cs="宋体"/>
                <w:color w:val="auto"/>
                <w:szCs w:val="21"/>
                <w:highlight w:val="none"/>
              </w:rPr>
              <w:t>一</w:t>
            </w:r>
          </w:p>
        </w:tc>
        <w:tc>
          <w:tcPr>
            <w:tcW w:w="1423" w:type="pct"/>
            <w:vAlign w:val="center"/>
          </w:tcPr>
          <w:p>
            <w:pPr>
              <w:adjustRightInd w:val="0"/>
              <w:snapToGrid w:val="0"/>
              <w:jc w:val="center"/>
              <w:rPr>
                <w:rFonts w:ascii="宋体" w:cs="宋体"/>
                <w:color w:val="auto"/>
                <w:szCs w:val="21"/>
                <w:highlight w:val="none"/>
              </w:rPr>
            </w:pPr>
            <w:r>
              <w:rPr>
                <w:rFonts w:hint="eastAsia" w:ascii="宋体" w:hAnsi="宋体" w:cs="宋体"/>
                <w:color w:val="auto"/>
                <w:szCs w:val="21"/>
                <w:highlight w:val="none"/>
              </w:rPr>
              <w:t>产品及规模</w:t>
            </w:r>
          </w:p>
        </w:tc>
        <w:tc>
          <w:tcPr>
            <w:tcW w:w="855" w:type="pct"/>
            <w:vAlign w:val="center"/>
          </w:tcPr>
          <w:p>
            <w:pPr>
              <w:adjustRightInd w:val="0"/>
              <w:snapToGrid w:val="0"/>
              <w:jc w:val="center"/>
              <w:rPr>
                <w:rFonts w:ascii="宋体" w:cs="宋体"/>
                <w:color w:val="auto"/>
                <w:szCs w:val="21"/>
                <w:highlight w:val="none"/>
              </w:rPr>
            </w:pPr>
          </w:p>
        </w:tc>
        <w:tc>
          <w:tcPr>
            <w:tcW w:w="791" w:type="pct"/>
            <w:vAlign w:val="center"/>
          </w:tcPr>
          <w:p>
            <w:pPr>
              <w:adjustRightInd w:val="0"/>
              <w:snapToGrid w:val="0"/>
              <w:jc w:val="center"/>
              <w:rPr>
                <w:rFonts w:ascii="宋体" w:cs="宋体"/>
                <w:color w:val="auto"/>
                <w:szCs w:val="21"/>
                <w:highlight w:val="none"/>
              </w:rPr>
            </w:pPr>
          </w:p>
        </w:tc>
        <w:tc>
          <w:tcPr>
            <w:tcW w:w="1517" w:type="pct"/>
            <w:vAlign w:val="center"/>
          </w:tcPr>
          <w:p>
            <w:pPr>
              <w:adjustRightInd w:val="0"/>
              <w:snapToGrid w:val="0"/>
              <w:jc w:val="center"/>
              <w:rPr>
                <w:rFonts w:asci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color w:val="auto"/>
                <w:szCs w:val="21"/>
                <w:highlight w:val="none"/>
              </w:rPr>
            </w:pPr>
            <w:r>
              <w:rPr>
                <w:rFonts w:ascii="宋体" w:hAnsi="宋体" w:cs="宋体"/>
                <w:color w:val="auto"/>
                <w:szCs w:val="21"/>
                <w:highlight w:val="none"/>
              </w:rPr>
              <w:t>1</w:t>
            </w:r>
          </w:p>
        </w:tc>
        <w:tc>
          <w:tcPr>
            <w:tcW w:w="1423" w:type="pct"/>
            <w:vAlign w:val="center"/>
          </w:tcPr>
          <w:p>
            <w:pPr>
              <w:adjustRightInd w:val="0"/>
              <w:snapToGrid w:val="0"/>
              <w:jc w:val="center"/>
              <w:rPr>
                <w:rFonts w:ascii="宋体" w:cs="宋体"/>
                <w:color w:val="auto"/>
                <w:szCs w:val="21"/>
                <w:highlight w:val="none"/>
              </w:rPr>
            </w:pPr>
            <w:r>
              <w:rPr>
                <w:rFonts w:hint="eastAsia" w:ascii="宋体" w:hAnsi="宋体" w:cs="宋体"/>
                <w:color w:val="auto"/>
                <w:szCs w:val="21"/>
                <w:highlight w:val="none"/>
              </w:rPr>
              <w:t>产品</w:t>
            </w:r>
          </w:p>
        </w:tc>
        <w:tc>
          <w:tcPr>
            <w:tcW w:w="855" w:type="pct"/>
            <w:vAlign w:val="center"/>
          </w:tcPr>
          <w:p>
            <w:pPr>
              <w:adjustRightInd w:val="0"/>
              <w:snapToGrid w:val="0"/>
              <w:jc w:val="center"/>
              <w:rPr>
                <w:rFonts w:ascii="宋体" w:cs="宋体"/>
                <w:color w:val="auto"/>
                <w:szCs w:val="21"/>
                <w:highlight w:val="none"/>
              </w:rPr>
            </w:pPr>
          </w:p>
        </w:tc>
        <w:tc>
          <w:tcPr>
            <w:tcW w:w="791" w:type="pct"/>
            <w:vAlign w:val="center"/>
          </w:tcPr>
          <w:p>
            <w:pPr>
              <w:adjustRightInd w:val="0"/>
              <w:snapToGrid w:val="0"/>
              <w:jc w:val="center"/>
              <w:rPr>
                <w:rFonts w:ascii="宋体" w:cs="宋体"/>
                <w:color w:val="auto"/>
                <w:szCs w:val="21"/>
                <w:highlight w:val="none"/>
              </w:rPr>
            </w:pPr>
          </w:p>
        </w:tc>
        <w:tc>
          <w:tcPr>
            <w:tcW w:w="1517" w:type="pct"/>
            <w:vAlign w:val="center"/>
          </w:tcPr>
          <w:p>
            <w:pPr>
              <w:adjustRightInd w:val="0"/>
              <w:snapToGrid w:val="0"/>
              <w:jc w:val="center"/>
              <w:rPr>
                <w:rFonts w:asci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color w:val="auto"/>
                <w:szCs w:val="21"/>
                <w:highlight w:val="none"/>
              </w:rPr>
            </w:pPr>
          </w:p>
        </w:tc>
        <w:tc>
          <w:tcPr>
            <w:tcW w:w="1423" w:type="pct"/>
            <w:vAlign w:val="center"/>
          </w:tcPr>
          <w:p>
            <w:pPr>
              <w:adjustRightInd w:val="0"/>
              <w:snapToGrid w:val="0"/>
              <w:jc w:val="center"/>
              <w:rPr>
                <w:rFonts w:ascii="宋体" w:cs="宋体"/>
                <w:color w:val="auto"/>
                <w:szCs w:val="21"/>
                <w:highlight w:val="none"/>
              </w:rPr>
            </w:pPr>
            <w:r>
              <w:rPr>
                <w:rFonts w:hint="eastAsia" w:ascii="宋体" w:hAnsi="宋体" w:cs="宋体"/>
                <w:color w:val="auto"/>
                <w:szCs w:val="21"/>
                <w:highlight w:val="none"/>
              </w:rPr>
              <w:t>次氯酸钠</w:t>
            </w:r>
          </w:p>
        </w:tc>
        <w:tc>
          <w:tcPr>
            <w:tcW w:w="855" w:type="pct"/>
            <w:vAlign w:val="center"/>
          </w:tcPr>
          <w:p>
            <w:pPr>
              <w:adjustRightInd w:val="0"/>
              <w:snapToGrid w:val="0"/>
              <w:jc w:val="center"/>
              <w:rPr>
                <w:rFonts w:ascii="宋体" w:cs="宋体"/>
                <w:color w:val="auto"/>
                <w:szCs w:val="21"/>
                <w:highlight w:val="none"/>
              </w:rPr>
            </w:pPr>
            <w:r>
              <w:rPr>
                <w:rFonts w:hint="eastAsia" w:ascii="宋体" w:hAnsi="宋体" w:cs="宋体"/>
                <w:color w:val="auto"/>
                <w:szCs w:val="21"/>
                <w:highlight w:val="none"/>
              </w:rPr>
              <w:t>吨</w:t>
            </w:r>
            <w:r>
              <w:rPr>
                <w:rFonts w:ascii="宋体" w:hAnsi="宋体" w:cs="宋体"/>
                <w:color w:val="auto"/>
                <w:szCs w:val="21"/>
                <w:highlight w:val="none"/>
              </w:rPr>
              <w:t>/</w:t>
            </w:r>
            <w:r>
              <w:rPr>
                <w:rFonts w:hint="eastAsia" w:ascii="宋体" w:hAnsi="宋体" w:cs="宋体"/>
                <w:color w:val="auto"/>
                <w:szCs w:val="21"/>
                <w:highlight w:val="none"/>
              </w:rPr>
              <w:t>年</w:t>
            </w:r>
          </w:p>
        </w:tc>
        <w:tc>
          <w:tcPr>
            <w:tcW w:w="791" w:type="pct"/>
            <w:vAlign w:val="center"/>
          </w:tcPr>
          <w:p>
            <w:pPr>
              <w:adjustRightInd w:val="0"/>
              <w:snapToGrid w:val="0"/>
              <w:jc w:val="center"/>
              <w:rPr>
                <w:rFonts w:ascii="宋体" w:cs="宋体"/>
                <w:color w:val="auto"/>
                <w:szCs w:val="21"/>
                <w:highlight w:val="none"/>
              </w:rPr>
            </w:pPr>
            <w:r>
              <w:rPr>
                <w:rFonts w:ascii="宋体" w:hAnsi="宋体" w:cs="宋体"/>
                <w:color w:val="auto"/>
                <w:szCs w:val="21"/>
                <w:highlight w:val="none"/>
              </w:rPr>
              <w:t>80000</w:t>
            </w:r>
          </w:p>
        </w:tc>
        <w:tc>
          <w:tcPr>
            <w:tcW w:w="1517" w:type="pct"/>
            <w:vAlign w:val="center"/>
          </w:tcPr>
          <w:p>
            <w:pPr>
              <w:adjustRightInd w:val="0"/>
              <w:snapToGrid w:val="0"/>
              <w:jc w:val="center"/>
              <w:rPr>
                <w:rFonts w:asci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color w:val="auto"/>
                <w:szCs w:val="21"/>
                <w:highlight w:val="none"/>
              </w:rPr>
            </w:pPr>
            <w:r>
              <w:rPr>
                <w:rFonts w:ascii="宋体" w:hAnsi="宋体" w:cs="宋体"/>
                <w:color w:val="auto"/>
                <w:szCs w:val="21"/>
                <w:highlight w:val="none"/>
              </w:rPr>
              <w:t>2</w:t>
            </w:r>
          </w:p>
        </w:tc>
        <w:tc>
          <w:tcPr>
            <w:tcW w:w="1423" w:type="pct"/>
            <w:vAlign w:val="center"/>
          </w:tcPr>
          <w:p>
            <w:pPr>
              <w:adjustRightInd w:val="0"/>
              <w:snapToGrid w:val="0"/>
              <w:jc w:val="center"/>
              <w:rPr>
                <w:rFonts w:ascii="宋体" w:cs="宋体"/>
                <w:color w:val="auto"/>
                <w:szCs w:val="21"/>
                <w:highlight w:val="none"/>
              </w:rPr>
            </w:pPr>
            <w:r>
              <w:rPr>
                <w:rFonts w:hint="eastAsia" w:ascii="宋体" w:hAnsi="宋体" w:cs="宋体"/>
                <w:color w:val="auto"/>
                <w:szCs w:val="21"/>
                <w:highlight w:val="none"/>
              </w:rPr>
              <w:t>年操作时间</w:t>
            </w:r>
          </w:p>
        </w:tc>
        <w:tc>
          <w:tcPr>
            <w:tcW w:w="855" w:type="pct"/>
            <w:vAlign w:val="center"/>
          </w:tcPr>
          <w:p>
            <w:pPr>
              <w:adjustRightInd w:val="0"/>
              <w:snapToGrid w:val="0"/>
              <w:jc w:val="center"/>
              <w:rPr>
                <w:rFonts w:ascii="宋体" w:cs="宋体"/>
                <w:color w:val="auto"/>
                <w:szCs w:val="21"/>
                <w:highlight w:val="none"/>
              </w:rPr>
            </w:pPr>
            <w:r>
              <w:rPr>
                <w:rFonts w:hint="eastAsia" w:ascii="宋体" w:hAnsi="宋体" w:cs="宋体"/>
                <w:color w:val="auto"/>
                <w:szCs w:val="21"/>
                <w:highlight w:val="none"/>
              </w:rPr>
              <w:t>小时</w:t>
            </w:r>
          </w:p>
        </w:tc>
        <w:tc>
          <w:tcPr>
            <w:tcW w:w="791" w:type="pct"/>
            <w:vAlign w:val="center"/>
          </w:tcPr>
          <w:p>
            <w:pPr>
              <w:adjustRightInd w:val="0"/>
              <w:snapToGrid w:val="0"/>
              <w:jc w:val="center"/>
              <w:rPr>
                <w:rFonts w:ascii="宋体" w:cs="宋体"/>
                <w:color w:val="auto"/>
                <w:szCs w:val="21"/>
                <w:highlight w:val="none"/>
              </w:rPr>
            </w:pPr>
            <w:r>
              <w:rPr>
                <w:rFonts w:ascii="宋体" w:hAnsi="宋体" w:cs="宋体"/>
                <w:color w:val="auto"/>
                <w:szCs w:val="21"/>
                <w:highlight w:val="none"/>
              </w:rPr>
              <w:t>8000</w:t>
            </w:r>
          </w:p>
        </w:tc>
        <w:tc>
          <w:tcPr>
            <w:tcW w:w="1517" w:type="pct"/>
            <w:vAlign w:val="center"/>
          </w:tcPr>
          <w:p>
            <w:pPr>
              <w:adjustRightInd w:val="0"/>
              <w:snapToGrid w:val="0"/>
              <w:jc w:val="center"/>
              <w:rPr>
                <w:rFonts w:asci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color w:val="auto"/>
                <w:szCs w:val="21"/>
                <w:highlight w:val="none"/>
              </w:rPr>
            </w:pPr>
            <w:r>
              <w:rPr>
                <w:rFonts w:hint="eastAsia" w:ascii="宋体" w:hAnsi="宋体" w:cs="宋体"/>
                <w:color w:val="auto"/>
                <w:szCs w:val="21"/>
                <w:highlight w:val="none"/>
              </w:rPr>
              <w:t>二</w:t>
            </w:r>
          </w:p>
        </w:tc>
        <w:tc>
          <w:tcPr>
            <w:tcW w:w="1423" w:type="pct"/>
            <w:vAlign w:val="center"/>
          </w:tcPr>
          <w:p>
            <w:pPr>
              <w:adjustRightInd w:val="0"/>
              <w:snapToGrid w:val="0"/>
              <w:jc w:val="center"/>
              <w:rPr>
                <w:rFonts w:ascii="宋体" w:cs="宋体"/>
                <w:color w:val="auto"/>
                <w:szCs w:val="21"/>
                <w:highlight w:val="none"/>
              </w:rPr>
            </w:pPr>
            <w:r>
              <w:rPr>
                <w:rFonts w:hint="eastAsia" w:ascii="宋体" w:hAnsi="宋体" w:cs="宋体"/>
                <w:color w:val="auto"/>
                <w:szCs w:val="21"/>
                <w:highlight w:val="none"/>
              </w:rPr>
              <w:t>主要原材料用量</w:t>
            </w:r>
          </w:p>
        </w:tc>
        <w:tc>
          <w:tcPr>
            <w:tcW w:w="855" w:type="pct"/>
            <w:vAlign w:val="center"/>
          </w:tcPr>
          <w:p>
            <w:pPr>
              <w:adjustRightInd w:val="0"/>
              <w:snapToGrid w:val="0"/>
              <w:jc w:val="center"/>
              <w:rPr>
                <w:rFonts w:ascii="宋体" w:cs="宋体"/>
                <w:color w:val="auto"/>
                <w:szCs w:val="21"/>
                <w:highlight w:val="none"/>
              </w:rPr>
            </w:pPr>
          </w:p>
        </w:tc>
        <w:tc>
          <w:tcPr>
            <w:tcW w:w="791" w:type="pct"/>
            <w:vAlign w:val="center"/>
          </w:tcPr>
          <w:p>
            <w:pPr>
              <w:adjustRightInd w:val="0"/>
              <w:snapToGrid w:val="0"/>
              <w:jc w:val="center"/>
              <w:rPr>
                <w:rFonts w:ascii="宋体" w:cs="宋体"/>
                <w:color w:val="auto"/>
                <w:szCs w:val="21"/>
                <w:highlight w:val="none"/>
              </w:rPr>
            </w:pPr>
          </w:p>
        </w:tc>
        <w:tc>
          <w:tcPr>
            <w:tcW w:w="1517" w:type="pct"/>
            <w:vAlign w:val="center"/>
          </w:tcPr>
          <w:p>
            <w:pPr>
              <w:adjustRightInd w:val="0"/>
              <w:snapToGrid w:val="0"/>
              <w:jc w:val="center"/>
              <w:rPr>
                <w:rFonts w:asci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color w:val="auto"/>
                <w:szCs w:val="21"/>
                <w:highlight w:val="none"/>
              </w:rPr>
            </w:pPr>
            <w:r>
              <w:rPr>
                <w:rFonts w:ascii="宋体" w:hAnsi="宋体" w:cs="宋体"/>
                <w:color w:val="auto"/>
                <w:szCs w:val="21"/>
                <w:highlight w:val="none"/>
              </w:rPr>
              <w:t>1</w:t>
            </w:r>
          </w:p>
        </w:tc>
        <w:tc>
          <w:tcPr>
            <w:tcW w:w="1423" w:type="pct"/>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 w:val="22"/>
                <w:highlight w:val="none"/>
              </w:rPr>
              <w:t>氯气</w:t>
            </w:r>
          </w:p>
        </w:tc>
        <w:tc>
          <w:tcPr>
            <w:tcW w:w="855" w:type="pct"/>
            <w:vAlign w:val="center"/>
          </w:tcPr>
          <w:p>
            <w:pPr>
              <w:widowControl/>
              <w:jc w:val="center"/>
              <w:textAlignment w:val="center"/>
              <w:rPr>
                <w:rFonts w:hint="eastAsia" w:ascii="宋体" w:hAnsi="宋体" w:cs="宋体"/>
                <w:color w:val="auto"/>
                <w:kern w:val="0"/>
                <w:sz w:val="22"/>
                <w:highlight w:val="none"/>
                <w:lang w:val="en-US" w:eastAsia="zh-CN"/>
              </w:rPr>
            </w:pPr>
            <w:r>
              <w:rPr>
                <w:rFonts w:hint="eastAsia" w:ascii="宋体" w:hAnsi="宋体" w:cs="宋体"/>
                <w:color w:val="auto"/>
                <w:kern w:val="0"/>
                <w:sz w:val="22"/>
                <w:highlight w:val="none"/>
                <w:lang w:val="en-US" w:eastAsia="zh-CN"/>
              </w:rPr>
              <w:t>吨/年</w:t>
            </w:r>
          </w:p>
        </w:tc>
        <w:tc>
          <w:tcPr>
            <w:tcW w:w="1348" w:type="dxa"/>
            <w:vAlign w:val="center"/>
          </w:tcPr>
          <w:p>
            <w:pPr>
              <w:widowControl/>
              <w:jc w:val="center"/>
              <w:textAlignment w:val="center"/>
              <w:rPr>
                <w:rFonts w:hint="eastAsia" w:ascii="宋体" w:hAnsi="宋体" w:cs="宋体"/>
                <w:color w:val="auto"/>
                <w:kern w:val="0"/>
                <w:sz w:val="22"/>
                <w:highlight w:val="none"/>
                <w:lang w:val="en-US" w:eastAsia="zh-CN"/>
              </w:rPr>
            </w:pPr>
            <w:r>
              <w:rPr>
                <w:rFonts w:hint="eastAsia" w:ascii="宋体" w:hAnsi="宋体" w:cs="宋体"/>
                <w:color w:val="auto"/>
                <w:kern w:val="0"/>
                <w:sz w:val="22"/>
                <w:highlight w:val="none"/>
                <w:lang w:val="en-US" w:eastAsia="zh-CN"/>
              </w:rPr>
              <w:t>8387</w:t>
            </w:r>
          </w:p>
        </w:tc>
        <w:tc>
          <w:tcPr>
            <w:tcW w:w="1517" w:type="pct"/>
            <w:vAlign w:val="center"/>
          </w:tcPr>
          <w:p>
            <w:pPr>
              <w:widowControl/>
              <w:jc w:val="center"/>
              <w:textAlignment w:val="center"/>
              <w:rPr>
                <w:rFonts w:hint="eastAsia" w:ascii="宋体" w:hAnsi="宋体" w:cs="宋体"/>
                <w:color w:val="auto"/>
                <w:kern w:val="0"/>
                <w:sz w:val="22"/>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color w:val="auto"/>
                <w:szCs w:val="21"/>
                <w:highlight w:val="none"/>
              </w:rPr>
            </w:pPr>
            <w:r>
              <w:rPr>
                <w:rFonts w:ascii="宋体" w:hAnsi="宋体" w:cs="宋体"/>
                <w:color w:val="auto"/>
                <w:szCs w:val="21"/>
                <w:highlight w:val="none"/>
              </w:rPr>
              <w:t>2</w:t>
            </w:r>
          </w:p>
        </w:tc>
        <w:tc>
          <w:tcPr>
            <w:tcW w:w="1423" w:type="pct"/>
            <w:vAlign w:val="center"/>
          </w:tcPr>
          <w:p>
            <w:pPr>
              <w:widowControl/>
              <w:jc w:val="center"/>
              <w:textAlignment w:val="center"/>
              <w:rPr>
                <w:rFonts w:hint="eastAsia" w:ascii="宋体" w:eastAsia="宋体" w:cs="宋体"/>
                <w:color w:val="auto"/>
                <w:szCs w:val="21"/>
                <w:highlight w:val="none"/>
                <w:lang w:eastAsia="zh-CN"/>
              </w:rPr>
            </w:pPr>
            <w:r>
              <w:rPr>
                <w:rFonts w:hint="eastAsia" w:ascii="宋体" w:hAnsi="宋体" w:cs="宋体"/>
                <w:color w:val="auto"/>
                <w:kern w:val="0"/>
                <w:sz w:val="22"/>
                <w:highlight w:val="none"/>
              </w:rPr>
              <w:t>离子膜碱</w:t>
            </w:r>
            <w:r>
              <w:rPr>
                <w:rFonts w:hint="eastAsia" w:ascii="宋体" w:hAnsi="宋体" w:cs="宋体"/>
                <w:color w:val="auto"/>
                <w:kern w:val="0"/>
                <w:sz w:val="22"/>
                <w:highlight w:val="none"/>
                <w:lang w:eastAsia="zh-CN"/>
              </w:rPr>
              <w:t>（</w:t>
            </w:r>
            <w:r>
              <w:rPr>
                <w:rFonts w:hint="eastAsia" w:ascii="宋体" w:hAnsi="宋体" w:cs="宋体"/>
                <w:color w:val="auto"/>
                <w:kern w:val="0"/>
                <w:sz w:val="22"/>
                <w:highlight w:val="none"/>
                <w:lang w:val="en-US" w:eastAsia="zh-CN"/>
              </w:rPr>
              <w:t>折百</w:t>
            </w:r>
            <w:r>
              <w:rPr>
                <w:rFonts w:hint="eastAsia" w:ascii="宋体" w:hAnsi="宋体" w:cs="宋体"/>
                <w:color w:val="auto"/>
                <w:kern w:val="0"/>
                <w:sz w:val="22"/>
                <w:highlight w:val="none"/>
                <w:lang w:eastAsia="zh-CN"/>
              </w:rPr>
              <w:t>）</w:t>
            </w:r>
          </w:p>
        </w:tc>
        <w:tc>
          <w:tcPr>
            <w:tcW w:w="855" w:type="pct"/>
            <w:vAlign w:val="center"/>
          </w:tcPr>
          <w:p>
            <w:pPr>
              <w:widowControl/>
              <w:jc w:val="center"/>
              <w:textAlignment w:val="center"/>
              <w:rPr>
                <w:rFonts w:hint="eastAsia" w:ascii="宋体" w:hAnsi="宋体" w:cs="宋体"/>
                <w:color w:val="auto"/>
                <w:kern w:val="0"/>
                <w:sz w:val="22"/>
                <w:highlight w:val="none"/>
                <w:lang w:val="en-US" w:eastAsia="zh-CN"/>
              </w:rPr>
            </w:pPr>
            <w:r>
              <w:rPr>
                <w:rFonts w:hint="eastAsia" w:ascii="宋体" w:hAnsi="宋体" w:cs="宋体"/>
                <w:color w:val="auto"/>
                <w:kern w:val="0"/>
                <w:sz w:val="22"/>
                <w:highlight w:val="none"/>
                <w:lang w:val="en-US" w:eastAsia="zh-CN"/>
              </w:rPr>
              <w:t>吨/年</w:t>
            </w:r>
          </w:p>
        </w:tc>
        <w:tc>
          <w:tcPr>
            <w:tcW w:w="1348" w:type="dxa"/>
            <w:vAlign w:val="center"/>
          </w:tcPr>
          <w:p>
            <w:pPr>
              <w:widowControl/>
              <w:jc w:val="center"/>
              <w:textAlignment w:val="center"/>
              <w:rPr>
                <w:rFonts w:hint="eastAsia" w:ascii="宋体" w:hAnsi="宋体" w:cs="宋体"/>
                <w:color w:val="auto"/>
                <w:kern w:val="0"/>
                <w:sz w:val="22"/>
                <w:highlight w:val="none"/>
                <w:lang w:val="en-US" w:eastAsia="zh-CN"/>
              </w:rPr>
            </w:pPr>
            <w:r>
              <w:rPr>
                <w:rFonts w:hint="eastAsia" w:ascii="宋体" w:hAnsi="宋体" w:cs="宋体"/>
                <w:color w:val="auto"/>
                <w:kern w:val="0"/>
                <w:sz w:val="22"/>
                <w:highlight w:val="none"/>
                <w:lang w:val="en-US" w:eastAsia="zh-CN"/>
              </w:rPr>
              <w:t>9450</w:t>
            </w:r>
          </w:p>
        </w:tc>
        <w:tc>
          <w:tcPr>
            <w:tcW w:w="1517" w:type="pct"/>
            <w:vAlign w:val="center"/>
          </w:tcPr>
          <w:p>
            <w:pPr>
              <w:widowControl/>
              <w:jc w:val="center"/>
              <w:textAlignment w:val="center"/>
              <w:rPr>
                <w:rFonts w:hint="eastAsia" w:ascii="宋体" w:hAnsi="宋体" w:cs="宋体"/>
                <w:color w:val="auto"/>
                <w:kern w:val="0"/>
                <w:sz w:val="22"/>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三</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公用工程及动力消耗</w:t>
            </w:r>
          </w:p>
        </w:tc>
        <w:tc>
          <w:tcPr>
            <w:tcW w:w="855" w:type="pct"/>
            <w:vAlign w:val="center"/>
          </w:tcPr>
          <w:p>
            <w:pPr>
              <w:adjustRightInd w:val="0"/>
              <w:snapToGrid w:val="0"/>
              <w:jc w:val="center"/>
              <w:rPr>
                <w:rFonts w:ascii="宋体" w:cs="宋体"/>
                <w:color w:val="auto"/>
                <w:szCs w:val="21"/>
                <w:highlight w:val="none"/>
              </w:rPr>
            </w:pPr>
          </w:p>
        </w:tc>
        <w:tc>
          <w:tcPr>
            <w:tcW w:w="791" w:type="pct"/>
            <w:vAlign w:val="center"/>
          </w:tcPr>
          <w:p>
            <w:pPr>
              <w:adjustRightInd w:val="0"/>
              <w:snapToGrid w:val="0"/>
              <w:jc w:val="center"/>
              <w:rPr>
                <w:rFonts w:ascii="宋体" w:cs="宋体"/>
                <w:color w:val="auto"/>
                <w:szCs w:val="21"/>
                <w:highlight w:val="none"/>
              </w:rPr>
            </w:pPr>
          </w:p>
        </w:tc>
        <w:tc>
          <w:tcPr>
            <w:tcW w:w="1517" w:type="pct"/>
            <w:vAlign w:val="center"/>
          </w:tcPr>
          <w:p>
            <w:pPr>
              <w:adjustRightInd w:val="0"/>
              <w:snapToGrid w:val="0"/>
              <w:jc w:val="center"/>
              <w:rPr>
                <w:rFonts w:asci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1</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动力电</w:t>
            </w:r>
          </w:p>
        </w:tc>
        <w:tc>
          <w:tcPr>
            <w:tcW w:w="855"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Kwh/</w:t>
            </w:r>
            <w:r>
              <w:rPr>
                <w:rFonts w:hint="eastAsia" w:ascii="宋体" w:hAnsi="宋体" w:cs="宋体"/>
                <w:snapToGrid w:val="0"/>
                <w:color w:val="auto"/>
                <w:szCs w:val="21"/>
                <w:highlight w:val="none"/>
              </w:rPr>
              <w:t>年</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color w:val="auto"/>
                <w:szCs w:val="21"/>
                <w:highlight w:val="none"/>
              </w:rPr>
              <w:t>400000</w:t>
            </w:r>
          </w:p>
        </w:tc>
        <w:tc>
          <w:tcPr>
            <w:tcW w:w="1517" w:type="pct"/>
            <w:vAlign w:val="center"/>
          </w:tcPr>
          <w:p>
            <w:pPr>
              <w:adjustRightInd w:val="0"/>
              <w:snapToGrid w:val="0"/>
              <w:jc w:val="center"/>
              <w:rPr>
                <w:rFonts w:asci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四</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三废排放量</w:t>
            </w:r>
          </w:p>
        </w:tc>
        <w:tc>
          <w:tcPr>
            <w:tcW w:w="855" w:type="pct"/>
            <w:vAlign w:val="center"/>
          </w:tcPr>
          <w:p>
            <w:pPr>
              <w:adjustRightInd w:val="0"/>
              <w:snapToGrid w:val="0"/>
              <w:jc w:val="center"/>
              <w:rPr>
                <w:rFonts w:ascii="宋体" w:cs="宋体"/>
                <w:snapToGrid w:val="0"/>
                <w:color w:val="auto"/>
                <w:szCs w:val="21"/>
                <w:highlight w:val="none"/>
              </w:rPr>
            </w:pPr>
          </w:p>
        </w:tc>
        <w:tc>
          <w:tcPr>
            <w:tcW w:w="791" w:type="pct"/>
            <w:vAlign w:val="center"/>
          </w:tcPr>
          <w:p>
            <w:pPr>
              <w:adjustRightInd w:val="0"/>
              <w:snapToGrid w:val="0"/>
              <w:jc w:val="center"/>
              <w:rPr>
                <w:rFonts w:ascii="宋体" w:cs="宋体"/>
                <w:snapToGrid w:val="0"/>
                <w:color w:val="auto"/>
                <w:szCs w:val="21"/>
                <w:highlight w:val="none"/>
              </w:rPr>
            </w:pPr>
          </w:p>
        </w:tc>
        <w:tc>
          <w:tcPr>
            <w:tcW w:w="1517" w:type="pct"/>
            <w:vAlign w:val="center"/>
          </w:tcPr>
          <w:p>
            <w:pPr>
              <w:adjustRightInd w:val="0"/>
              <w:snapToGrid w:val="0"/>
              <w:jc w:val="center"/>
              <w:rPr>
                <w:rFonts w:ascii="宋体" w:cs="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1</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废气</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color w:val="auto"/>
                <w:kern w:val="0"/>
                <w:sz w:val="22"/>
                <w:highlight w:val="none"/>
                <w:lang w:val="en-US" w:eastAsia="zh-CN"/>
              </w:rPr>
              <w:t>吨/年</w:t>
            </w:r>
          </w:p>
        </w:tc>
        <w:tc>
          <w:tcPr>
            <w:tcW w:w="791" w:type="pct"/>
            <w:vAlign w:val="center"/>
          </w:tcPr>
          <w:p>
            <w:pPr>
              <w:adjustRightInd w:val="0"/>
              <w:snapToGrid w:val="0"/>
              <w:jc w:val="center"/>
              <w:rPr>
                <w:rFonts w:hint="default" w:ascii="宋体" w:eastAsia="宋体" w:cs="宋体"/>
                <w:snapToGrid w:val="0"/>
                <w:color w:val="auto"/>
                <w:szCs w:val="21"/>
                <w:highlight w:val="none"/>
                <w:lang w:val="en-US" w:eastAsia="zh-CN"/>
              </w:rPr>
            </w:pPr>
            <w:r>
              <w:rPr>
                <w:rFonts w:hint="eastAsia" w:ascii="宋体" w:hAnsi="宋体" w:cs="宋体"/>
                <w:snapToGrid w:val="0"/>
                <w:color w:val="auto"/>
                <w:szCs w:val="21"/>
                <w:highlight w:val="none"/>
                <w:lang w:val="en-US" w:eastAsia="zh-CN"/>
              </w:rPr>
              <w:t>0.009</w:t>
            </w:r>
          </w:p>
        </w:tc>
        <w:tc>
          <w:tcPr>
            <w:tcW w:w="1517"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有组织排放，符合</w:t>
            </w:r>
          </w:p>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GB 15581-2016</w:t>
            </w:r>
            <w:r>
              <w:rPr>
                <w:rFonts w:hint="eastAsia" w:ascii="宋体" w:hAnsi="宋体" w:cs="宋体"/>
                <w:snapToGrid w:val="0"/>
                <w:color w:val="auto"/>
                <w:szCs w:val="21"/>
                <w:highlight w:val="none"/>
              </w:rPr>
              <w:t>表</w:t>
            </w:r>
            <w:r>
              <w:rPr>
                <w:rFonts w:ascii="宋体" w:hAnsi="宋体" w:cs="宋体"/>
                <w:snapToGrid w:val="0"/>
                <w:color w:val="auto"/>
                <w:szCs w:val="21"/>
                <w:highlight w:val="none"/>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2</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生产废水</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吨</w:t>
            </w:r>
            <w:r>
              <w:rPr>
                <w:rFonts w:ascii="宋体" w:hAnsi="宋体" w:cs="宋体"/>
                <w:color w:val="auto"/>
                <w:szCs w:val="21"/>
                <w:highlight w:val="none"/>
              </w:rPr>
              <w:t>/</w:t>
            </w:r>
            <w:r>
              <w:rPr>
                <w:rFonts w:hint="eastAsia" w:ascii="宋体" w:hAnsi="宋体" w:cs="宋体"/>
                <w:color w:val="auto"/>
                <w:szCs w:val="21"/>
                <w:highlight w:val="none"/>
              </w:rPr>
              <w:t>年</w:t>
            </w:r>
          </w:p>
        </w:tc>
        <w:tc>
          <w:tcPr>
            <w:tcW w:w="791"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无</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3</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废渣</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吨</w:t>
            </w:r>
            <w:r>
              <w:rPr>
                <w:rFonts w:ascii="宋体" w:hAnsi="宋体" w:cs="宋体"/>
                <w:color w:val="auto"/>
                <w:szCs w:val="21"/>
                <w:highlight w:val="none"/>
              </w:rPr>
              <w:t>/</w:t>
            </w:r>
            <w:r>
              <w:rPr>
                <w:rFonts w:hint="eastAsia" w:ascii="宋体" w:hAnsi="宋体" w:cs="宋体"/>
                <w:color w:val="auto"/>
                <w:szCs w:val="21"/>
                <w:highlight w:val="none"/>
              </w:rPr>
              <w:t>年</w:t>
            </w:r>
          </w:p>
        </w:tc>
        <w:tc>
          <w:tcPr>
            <w:tcW w:w="791"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无</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五</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定员</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人</w:t>
            </w:r>
          </w:p>
        </w:tc>
        <w:tc>
          <w:tcPr>
            <w:tcW w:w="791" w:type="pct"/>
            <w:vAlign w:val="center"/>
          </w:tcPr>
          <w:p>
            <w:pPr>
              <w:adjustRightInd w:val="0"/>
              <w:snapToGrid w:val="0"/>
              <w:jc w:val="center"/>
              <w:rPr>
                <w:rFonts w:ascii="宋体" w:cs="宋体"/>
                <w:snapToGrid w:val="0"/>
                <w:color w:val="auto"/>
                <w:szCs w:val="21"/>
                <w:highlight w:val="none"/>
              </w:rPr>
            </w:pPr>
            <w:r>
              <w:rPr>
                <w:rFonts w:ascii="宋体" w:cs="宋体"/>
                <w:snapToGrid w:val="0"/>
                <w:color w:val="auto"/>
                <w:szCs w:val="21"/>
                <w:highlight w:val="none"/>
              </w:rPr>
              <w:t>0</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六</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项目占地面积</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平方米</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150</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七</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投资</w:t>
            </w:r>
          </w:p>
        </w:tc>
        <w:tc>
          <w:tcPr>
            <w:tcW w:w="855" w:type="pct"/>
            <w:vAlign w:val="center"/>
          </w:tcPr>
          <w:p>
            <w:pPr>
              <w:adjustRightInd w:val="0"/>
              <w:snapToGrid w:val="0"/>
              <w:jc w:val="center"/>
              <w:rPr>
                <w:rFonts w:ascii="宋体" w:cs="宋体"/>
                <w:snapToGrid w:val="0"/>
                <w:color w:val="auto"/>
                <w:szCs w:val="21"/>
                <w:highlight w:val="none"/>
              </w:rPr>
            </w:pPr>
          </w:p>
        </w:tc>
        <w:tc>
          <w:tcPr>
            <w:tcW w:w="791" w:type="pct"/>
            <w:vAlign w:val="center"/>
          </w:tcPr>
          <w:p>
            <w:pPr>
              <w:adjustRightInd w:val="0"/>
              <w:snapToGrid w:val="0"/>
              <w:jc w:val="center"/>
              <w:rPr>
                <w:rFonts w:ascii="宋体" w:cs="宋体"/>
                <w:snapToGrid w:val="0"/>
                <w:color w:val="auto"/>
                <w:szCs w:val="21"/>
                <w:highlight w:val="none"/>
              </w:rPr>
            </w:pP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1</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总投资</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万元</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450</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2</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建设投资</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万元</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450</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八</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财务评价指标</w:t>
            </w:r>
          </w:p>
        </w:tc>
        <w:tc>
          <w:tcPr>
            <w:tcW w:w="855" w:type="pct"/>
            <w:vAlign w:val="center"/>
          </w:tcPr>
          <w:p>
            <w:pPr>
              <w:adjustRightInd w:val="0"/>
              <w:snapToGrid w:val="0"/>
              <w:jc w:val="center"/>
              <w:rPr>
                <w:rFonts w:ascii="宋体" w:cs="宋体"/>
                <w:snapToGrid w:val="0"/>
                <w:color w:val="auto"/>
                <w:szCs w:val="21"/>
                <w:highlight w:val="none"/>
              </w:rPr>
            </w:pPr>
          </w:p>
        </w:tc>
        <w:tc>
          <w:tcPr>
            <w:tcW w:w="791" w:type="pct"/>
            <w:vAlign w:val="center"/>
          </w:tcPr>
          <w:p>
            <w:pPr>
              <w:adjustRightInd w:val="0"/>
              <w:snapToGrid w:val="0"/>
              <w:jc w:val="center"/>
              <w:rPr>
                <w:rFonts w:ascii="宋体" w:cs="宋体"/>
                <w:snapToGrid w:val="0"/>
                <w:color w:val="auto"/>
                <w:szCs w:val="21"/>
                <w:highlight w:val="none"/>
              </w:rPr>
            </w:pP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1</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年均销售收入</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万元</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3832.49</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2</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年均总成本费用</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万元</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3708.90</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3</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年均利润总额</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万元</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120.20</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4</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总投资收益率</w:t>
            </w:r>
          </w:p>
        </w:tc>
        <w:tc>
          <w:tcPr>
            <w:tcW w:w="855"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26.71</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5</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投资利税率</w:t>
            </w:r>
          </w:p>
        </w:tc>
        <w:tc>
          <w:tcPr>
            <w:tcW w:w="855"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33.72</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6</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投资回收期</w:t>
            </w:r>
          </w:p>
        </w:tc>
        <w:tc>
          <w:tcPr>
            <w:tcW w:w="855" w:type="pct"/>
            <w:vAlign w:val="center"/>
          </w:tcPr>
          <w:p>
            <w:pPr>
              <w:adjustRightInd w:val="0"/>
              <w:snapToGrid w:val="0"/>
              <w:jc w:val="center"/>
              <w:rPr>
                <w:rFonts w:ascii="宋体" w:cs="宋体"/>
                <w:snapToGrid w:val="0"/>
                <w:color w:val="auto"/>
                <w:szCs w:val="21"/>
                <w:highlight w:val="none"/>
              </w:rPr>
            </w:pPr>
          </w:p>
        </w:tc>
        <w:tc>
          <w:tcPr>
            <w:tcW w:w="791" w:type="pct"/>
            <w:vAlign w:val="center"/>
          </w:tcPr>
          <w:p>
            <w:pPr>
              <w:adjustRightInd w:val="0"/>
              <w:snapToGrid w:val="0"/>
              <w:jc w:val="center"/>
              <w:rPr>
                <w:rFonts w:ascii="宋体" w:cs="宋体"/>
                <w:snapToGrid w:val="0"/>
                <w:color w:val="auto"/>
                <w:szCs w:val="21"/>
                <w:highlight w:val="none"/>
              </w:rPr>
            </w:pP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税前</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年</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3.81</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税后</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年</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4.39</w:t>
            </w: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7</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全投资财务内部收益率</w:t>
            </w:r>
          </w:p>
        </w:tc>
        <w:tc>
          <w:tcPr>
            <w:tcW w:w="855" w:type="pct"/>
            <w:vAlign w:val="center"/>
          </w:tcPr>
          <w:p>
            <w:pPr>
              <w:adjustRightInd w:val="0"/>
              <w:snapToGrid w:val="0"/>
              <w:jc w:val="center"/>
              <w:rPr>
                <w:rFonts w:ascii="宋体" w:cs="宋体"/>
                <w:snapToGrid w:val="0"/>
                <w:color w:val="auto"/>
                <w:szCs w:val="21"/>
                <w:highlight w:val="none"/>
              </w:rPr>
            </w:pPr>
          </w:p>
        </w:tc>
        <w:tc>
          <w:tcPr>
            <w:tcW w:w="791" w:type="pct"/>
            <w:vAlign w:val="center"/>
          </w:tcPr>
          <w:p>
            <w:pPr>
              <w:adjustRightInd w:val="0"/>
              <w:snapToGrid w:val="0"/>
              <w:jc w:val="center"/>
              <w:rPr>
                <w:rFonts w:ascii="宋体" w:cs="宋体"/>
                <w:snapToGrid w:val="0"/>
                <w:color w:val="auto"/>
                <w:szCs w:val="21"/>
                <w:highlight w:val="none"/>
              </w:rPr>
            </w:pP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税前</w:t>
            </w:r>
          </w:p>
        </w:tc>
        <w:tc>
          <w:tcPr>
            <w:tcW w:w="855"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33.15</w:t>
            </w:r>
          </w:p>
        </w:tc>
        <w:tc>
          <w:tcPr>
            <w:tcW w:w="2585" w:type="dxa"/>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ic=12%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税后</w:t>
            </w:r>
          </w:p>
        </w:tc>
        <w:tc>
          <w:tcPr>
            <w:tcW w:w="855"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w:t>
            </w:r>
          </w:p>
        </w:tc>
        <w:tc>
          <w:tcPr>
            <w:tcW w:w="791"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26.14</w:t>
            </w:r>
          </w:p>
        </w:tc>
        <w:tc>
          <w:tcPr>
            <w:tcW w:w="2585" w:type="dxa"/>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ic=12%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8</w:t>
            </w: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全投资财务净现值</w:t>
            </w:r>
          </w:p>
        </w:tc>
        <w:tc>
          <w:tcPr>
            <w:tcW w:w="855" w:type="pct"/>
            <w:vAlign w:val="center"/>
          </w:tcPr>
          <w:p>
            <w:pPr>
              <w:adjustRightInd w:val="0"/>
              <w:snapToGrid w:val="0"/>
              <w:jc w:val="center"/>
              <w:rPr>
                <w:rFonts w:ascii="宋体" w:cs="宋体"/>
                <w:snapToGrid w:val="0"/>
                <w:color w:val="auto"/>
                <w:szCs w:val="21"/>
                <w:highlight w:val="none"/>
              </w:rPr>
            </w:pPr>
          </w:p>
        </w:tc>
        <w:tc>
          <w:tcPr>
            <w:tcW w:w="791" w:type="pct"/>
            <w:vAlign w:val="center"/>
          </w:tcPr>
          <w:p>
            <w:pPr>
              <w:adjustRightInd w:val="0"/>
              <w:snapToGrid w:val="0"/>
              <w:jc w:val="center"/>
              <w:rPr>
                <w:rFonts w:ascii="宋体" w:cs="宋体"/>
                <w:snapToGrid w:val="0"/>
                <w:color w:val="auto"/>
                <w:szCs w:val="21"/>
                <w:highlight w:val="none"/>
              </w:rPr>
            </w:pPr>
          </w:p>
        </w:tc>
        <w:tc>
          <w:tcPr>
            <w:tcW w:w="1517" w:type="pct"/>
            <w:vAlign w:val="center"/>
          </w:tcPr>
          <w:p>
            <w:pPr>
              <w:adjustRightInd w:val="0"/>
              <w:snapToGrid w:val="0"/>
              <w:jc w:val="center"/>
              <w:rPr>
                <w:rFonts w:ascii="宋体" w:cs="宋体"/>
                <w:snapToGrid w:val="0"/>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税前</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万元</w:t>
            </w:r>
          </w:p>
        </w:tc>
        <w:tc>
          <w:tcPr>
            <w:tcW w:w="791" w:type="pct"/>
            <w:vAlign w:val="center"/>
          </w:tcPr>
          <w:p>
            <w:pPr>
              <w:adjustRightInd w:val="0"/>
              <w:snapToGrid w:val="0"/>
              <w:jc w:val="center"/>
              <w:rPr>
                <w:rFonts w:hint="eastAsia" w:ascii="宋体" w:eastAsia="宋体" w:cs="宋体"/>
                <w:snapToGrid w:val="0"/>
                <w:color w:val="auto"/>
                <w:szCs w:val="21"/>
                <w:highlight w:val="none"/>
                <w:lang w:eastAsia="zh-CN"/>
              </w:rPr>
            </w:pPr>
            <w:r>
              <w:rPr>
                <w:rFonts w:ascii="宋体" w:hAnsi="宋体" w:cs="宋体"/>
                <w:snapToGrid w:val="0"/>
                <w:color w:val="auto"/>
                <w:szCs w:val="21"/>
                <w:highlight w:val="none"/>
              </w:rPr>
              <w:t>388.7</w:t>
            </w:r>
            <w:r>
              <w:rPr>
                <w:rFonts w:hint="eastAsia" w:ascii="宋体" w:hAnsi="宋体" w:cs="宋体"/>
                <w:snapToGrid w:val="0"/>
                <w:color w:val="auto"/>
                <w:szCs w:val="21"/>
                <w:highlight w:val="none"/>
                <w:lang w:val="en-US" w:eastAsia="zh-CN"/>
              </w:rPr>
              <w:t>0</w:t>
            </w:r>
          </w:p>
        </w:tc>
        <w:tc>
          <w:tcPr>
            <w:tcW w:w="1517"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ic=12%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3" w:type="pct"/>
            <w:vAlign w:val="center"/>
          </w:tcPr>
          <w:p>
            <w:pPr>
              <w:adjustRightInd w:val="0"/>
              <w:snapToGrid w:val="0"/>
              <w:jc w:val="center"/>
              <w:rPr>
                <w:rFonts w:ascii="宋体" w:cs="宋体"/>
                <w:snapToGrid w:val="0"/>
                <w:color w:val="auto"/>
                <w:szCs w:val="21"/>
                <w:highlight w:val="none"/>
              </w:rPr>
            </w:pPr>
          </w:p>
        </w:tc>
        <w:tc>
          <w:tcPr>
            <w:tcW w:w="1423"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税后</w:t>
            </w:r>
          </w:p>
        </w:tc>
        <w:tc>
          <w:tcPr>
            <w:tcW w:w="855" w:type="pct"/>
            <w:vAlign w:val="center"/>
          </w:tcPr>
          <w:p>
            <w:pPr>
              <w:adjustRightInd w:val="0"/>
              <w:snapToGrid w:val="0"/>
              <w:jc w:val="center"/>
              <w:rPr>
                <w:rFonts w:ascii="宋体" w:cs="宋体"/>
                <w:snapToGrid w:val="0"/>
                <w:color w:val="auto"/>
                <w:szCs w:val="21"/>
                <w:highlight w:val="none"/>
              </w:rPr>
            </w:pPr>
            <w:r>
              <w:rPr>
                <w:rFonts w:hint="eastAsia" w:ascii="宋体" w:hAnsi="宋体" w:cs="宋体"/>
                <w:snapToGrid w:val="0"/>
                <w:color w:val="auto"/>
                <w:szCs w:val="21"/>
                <w:highlight w:val="none"/>
              </w:rPr>
              <w:t>万元</w:t>
            </w:r>
          </w:p>
        </w:tc>
        <w:tc>
          <w:tcPr>
            <w:tcW w:w="791" w:type="pct"/>
            <w:vAlign w:val="center"/>
          </w:tcPr>
          <w:p>
            <w:pPr>
              <w:adjustRightInd w:val="0"/>
              <w:snapToGrid w:val="0"/>
              <w:jc w:val="center"/>
              <w:rPr>
                <w:rFonts w:hint="eastAsia" w:ascii="宋体" w:eastAsia="宋体" w:cs="宋体"/>
                <w:snapToGrid w:val="0"/>
                <w:color w:val="auto"/>
                <w:szCs w:val="21"/>
                <w:highlight w:val="none"/>
                <w:lang w:eastAsia="zh-CN"/>
              </w:rPr>
            </w:pPr>
            <w:r>
              <w:rPr>
                <w:rFonts w:ascii="宋体" w:hAnsi="宋体" w:cs="宋体"/>
                <w:snapToGrid w:val="0"/>
                <w:color w:val="auto"/>
                <w:szCs w:val="21"/>
                <w:highlight w:val="none"/>
              </w:rPr>
              <w:t>249.0</w:t>
            </w:r>
            <w:r>
              <w:rPr>
                <w:rFonts w:hint="eastAsia" w:ascii="宋体" w:hAnsi="宋体" w:cs="宋体"/>
                <w:snapToGrid w:val="0"/>
                <w:color w:val="auto"/>
                <w:szCs w:val="21"/>
                <w:highlight w:val="none"/>
                <w:lang w:val="en-US" w:eastAsia="zh-CN"/>
              </w:rPr>
              <w:t>4</w:t>
            </w:r>
          </w:p>
        </w:tc>
        <w:tc>
          <w:tcPr>
            <w:tcW w:w="1517" w:type="pct"/>
            <w:vAlign w:val="center"/>
          </w:tcPr>
          <w:p>
            <w:pPr>
              <w:adjustRightInd w:val="0"/>
              <w:snapToGrid w:val="0"/>
              <w:jc w:val="center"/>
              <w:rPr>
                <w:rFonts w:ascii="宋体" w:cs="宋体"/>
                <w:snapToGrid w:val="0"/>
                <w:color w:val="auto"/>
                <w:szCs w:val="21"/>
                <w:highlight w:val="none"/>
              </w:rPr>
            </w:pPr>
            <w:r>
              <w:rPr>
                <w:rFonts w:ascii="宋体" w:hAnsi="宋体" w:cs="宋体"/>
                <w:snapToGrid w:val="0"/>
                <w:color w:val="auto"/>
                <w:szCs w:val="21"/>
                <w:highlight w:val="none"/>
              </w:rPr>
              <w:t>ic=12%</w:t>
            </w:r>
          </w:p>
        </w:tc>
      </w:tr>
    </w:tbl>
    <w:p>
      <w:pPr>
        <w:pStyle w:val="3"/>
        <w:spacing w:before="0" w:after="0" w:line="560" w:lineRule="exact"/>
        <w:ind w:firstLine="560" w:firstLineChars="200"/>
        <w:rPr>
          <w:rFonts w:ascii="宋体" w:hAnsi="宋体" w:eastAsia="宋体" w:cs="宋体"/>
          <w:b w:val="0"/>
          <w:bCs/>
          <w:color w:val="auto"/>
          <w:sz w:val="28"/>
          <w:szCs w:val="28"/>
          <w:highlight w:val="none"/>
        </w:rPr>
      </w:pPr>
      <w:bookmarkStart w:id="37" w:name="_Toc1016_WPSOffice_Level2"/>
      <w:bookmarkStart w:id="38" w:name="_Toc11702"/>
      <w:bookmarkStart w:id="39" w:name="_Toc28773"/>
      <w:bookmarkStart w:id="40" w:name="_Toc16550"/>
      <w:bookmarkStart w:id="41" w:name="_Toc20104"/>
      <w:bookmarkStart w:id="42" w:name="_Toc4048"/>
      <w:r>
        <w:rPr>
          <w:rFonts w:ascii="宋体" w:hAnsi="宋体" w:eastAsia="宋体" w:cs="宋体"/>
          <w:b w:val="0"/>
          <w:bCs/>
          <w:color w:val="auto"/>
          <w:sz w:val="28"/>
          <w:szCs w:val="28"/>
          <w:highlight w:val="none"/>
        </w:rPr>
        <w:t xml:space="preserve">1.4 </w:t>
      </w:r>
      <w:r>
        <w:rPr>
          <w:rFonts w:hint="eastAsia" w:ascii="宋体" w:hAnsi="宋体" w:eastAsia="宋体" w:cs="宋体"/>
          <w:b w:val="0"/>
          <w:bCs/>
          <w:color w:val="auto"/>
          <w:sz w:val="28"/>
          <w:szCs w:val="28"/>
          <w:highlight w:val="none"/>
        </w:rPr>
        <w:t>研究结论</w:t>
      </w:r>
      <w:bookmarkEnd w:id="37"/>
      <w:bookmarkEnd w:id="38"/>
      <w:bookmarkEnd w:id="39"/>
      <w:bookmarkEnd w:id="40"/>
      <w:bookmarkEnd w:id="41"/>
      <w:bookmarkEnd w:id="42"/>
    </w:p>
    <w:p>
      <w:pPr>
        <w:pStyle w:val="32"/>
        <w:numPr>
          <w:ilvl w:val="0"/>
          <w:numId w:val="1"/>
        </w:numPr>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本项目位于镇江新区江苏索普新材料科技有限公司内部，现有</w:t>
      </w:r>
      <w:r>
        <w:rPr>
          <w:rFonts w:hint="eastAsia" w:ascii="宋体" w:hAnsi="宋体" w:cs="宋体"/>
          <w:bCs/>
          <w:color w:val="auto"/>
          <w:sz w:val="28"/>
          <w:szCs w:val="28"/>
          <w:highlight w:val="none"/>
          <w:lang w:val="en-US" w:eastAsia="zh-CN"/>
        </w:rPr>
        <w:t>二次盐水及电解装置</w:t>
      </w:r>
      <w:r>
        <w:rPr>
          <w:rFonts w:hint="eastAsia" w:ascii="宋体" w:hAnsi="宋体" w:cs="宋体"/>
          <w:bCs/>
          <w:color w:val="auto"/>
          <w:sz w:val="28"/>
          <w:szCs w:val="28"/>
          <w:highlight w:val="none"/>
        </w:rPr>
        <w:t>西侧空地；本项目地处化工园区新材料产业园内，区内有完备的汽、电、水供应及污水处理系统；符合国家产业政策、土地利用政策和地方规划要求。</w:t>
      </w:r>
    </w:p>
    <w:p>
      <w:pPr>
        <w:pStyle w:val="32"/>
        <w:numPr>
          <w:ilvl w:val="0"/>
          <w:numId w:val="1"/>
        </w:numPr>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本项目厂址地处长三角地区，经济发达，工业基础雄厚；加上长江黄金水道，使本项目拥有优越的区位优势。</w:t>
      </w:r>
    </w:p>
    <w:p>
      <w:pPr>
        <w:pStyle w:val="32"/>
        <w:numPr>
          <w:ilvl w:val="0"/>
          <w:numId w:val="1"/>
        </w:numPr>
        <w:spacing w:line="560" w:lineRule="exact"/>
        <w:ind w:firstLine="31680"/>
        <w:jc w:val="left"/>
        <w:rPr>
          <w:rFonts w:ascii="宋体" w:cs="宋体"/>
          <w:bCs/>
          <w:color w:val="auto"/>
          <w:sz w:val="28"/>
          <w:szCs w:val="28"/>
          <w:highlight w:val="none"/>
          <w:lang w:val="zh-CN"/>
        </w:rPr>
      </w:pPr>
      <w:r>
        <w:rPr>
          <w:rFonts w:hint="eastAsia" w:ascii="宋体" w:hAnsi="宋体" w:cs="宋体"/>
          <w:bCs/>
          <w:color w:val="auto"/>
          <w:sz w:val="28"/>
          <w:szCs w:val="28"/>
          <w:highlight w:val="none"/>
          <w:lang w:val="zh-CN"/>
        </w:rPr>
        <w:t>本项目生产工艺技术上是安全、可靠的，并采用了自动控制技术，从而提高了生产过程中的本质安全度。</w:t>
      </w:r>
    </w:p>
    <w:p>
      <w:pPr>
        <w:pStyle w:val="32"/>
        <w:numPr>
          <w:ilvl w:val="0"/>
          <w:numId w:val="1"/>
        </w:numPr>
        <w:spacing w:line="560" w:lineRule="exact"/>
        <w:ind w:firstLine="31680"/>
        <w:jc w:val="left"/>
        <w:rPr>
          <w:rFonts w:ascii="宋体" w:cs="宋体"/>
          <w:bCs/>
          <w:color w:val="auto"/>
          <w:sz w:val="28"/>
          <w:szCs w:val="28"/>
          <w:highlight w:val="none"/>
          <w:lang w:val="zh-CN"/>
        </w:rPr>
      </w:pPr>
      <w:r>
        <w:rPr>
          <w:rFonts w:hint="eastAsia" w:ascii="宋体" w:hAnsi="宋体" w:cs="宋体"/>
          <w:bCs/>
          <w:color w:val="auto"/>
          <w:sz w:val="28"/>
          <w:szCs w:val="28"/>
          <w:highlight w:val="none"/>
        </w:rPr>
        <w:t>从技术分析上来看，本项目工艺技术先进，成熟可靠、能</w:t>
      </w:r>
      <w:r>
        <w:rPr>
          <w:rFonts w:hint="eastAsia" w:ascii="宋体" w:hAnsi="宋体" w:cs="宋体"/>
          <w:bCs/>
          <w:color w:val="auto"/>
          <w:sz w:val="28"/>
          <w:szCs w:val="28"/>
          <w:highlight w:val="none"/>
          <w:lang w:val="zh-CN"/>
        </w:rPr>
        <w:t>耗低，安全卫生和环保等各项措施完善、符合国家标准。从技术符合性上来说，对照《产业结构调整指导目录（</w:t>
      </w:r>
      <w:r>
        <w:rPr>
          <w:rFonts w:ascii="宋体" w:hAnsi="宋体" w:cs="宋体"/>
          <w:bCs/>
          <w:color w:val="auto"/>
          <w:sz w:val="28"/>
          <w:szCs w:val="28"/>
          <w:highlight w:val="none"/>
          <w:lang w:val="zh-CN"/>
        </w:rPr>
        <w:t>2019</w:t>
      </w:r>
      <w:r>
        <w:rPr>
          <w:rFonts w:hint="eastAsia" w:ascii="宋体" w:hAnsi="宋体" w:cs="宋体"/>
          <w:bCs/>
          <w:color w:val="auto"/>
          <w:sz w:val="28"/>
          <w:szCs w:val="28"/>
          <w:highlight w:val="none"/>
          <w:lang w:val="zh-CN"/>
        </w:rPr>
        <w:t>年本）</w:t>
      </w:r>
      <w:r>
        <w:rPr>
          <w:rFonts w:hint="eastAsia" w:ascii="宋体" w:hAnsi="宋体" w:cs="宋体"/>
          <w:bCs/>
          <w:color w:val="auto"/>
          <w:sz w:val="28"/>
          <w:szCs w:val="28"/>
          <w:highlight w:val="none"/>
        </w:rPr>
        <w:t>》，为允许类项目。</w:t>
      </w:r>
    </w:p>
    <w:p>
      <w:pPr>
        <w:pStyle w:val="32"/>
        <w:numPr>
          <w:ilvl w:val="0"/>
          <w:numId w:val="1"/>
        </w:numPr>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对比《国民经济行业分类》（</w:t>
      </w:r>
      <w:r>
        <w:rPr>
          <w:rFonts w:ascii="宋体" w:hAnsi="宋体" w:cs="宋体"/>
          <w:bCs/>
          <w:color w:val="auto"/>
          <w:sz w:val="28"/>
          <w:szCs w:val="28"/>
          <w:highlight w:val="none"/>
        </w:rPr>
        <w:t>GBT 4754-2017</w:t>
      </w:r>
      <w:r>
        <w:rPr>
          <w:rFonts w:hint="eastAsia" w:ascii="宋体" w:hAnsi="宋体" w:cs="宋体"/>
          <w:bCs/>
          <w:color w:val="auto"/>
          <w:sz w:val="28"/>
          <w:szCs w:val="28"/>
          <w:highlight w:val="none"/>
        </w:rPr>
        <w:t>）、《国民经济行业分类》国家标准第</w:t>
      </w:r>
      <w:r>
        <w:rPr>
          <w:rFonts w:ascii="宋体" w:hAnsi="宋体" w:cs="宋体"/>
          <w:bCs/>
          <w:color w:val="auto"/>
          <w:sz w:val="28"/>
          <w:szCs w:val="28"/>
          <w:highlight w:val="none"/>
        </w:rPr>
        <w:t>1</w:t>
      </w:r>
      <w:r>
        <w:rPr>
          <w:rFonts w:hint="eastAsia" w:ascii="宋体" w:hAnsi="宋体" w:cs="宋体"/>
          <w:bCs/>
          <w:color w:val="auto"/>
          <w:sz w:val="28"/>
          <w:szCs w:val="28"/>
          <w:highlight w:val="none"/>
        </w:rPr>
        <w:t>号修改单（</w:t>
      </w:r>
      <w:r>
        <w:rPr>
          <w:rFonts w:ascii="宋体" w:hAnsi="宋体" w:cs="宋体"/>
          <w:bCs/>
          <w:color w:val="auto"/>
          <w:sz w:val="28"/>
          <w:szCs w:val="28"/>
          <w:highlight w:val="none"/>
        </w:rPr>
        <w:t>GB/T 4754-2017/XG1-2019</w:t>
      </w:r>
      <w:r>
        <w:rPr>
          <w:rFonts w:hint="eastAsia" w:ascii="宋体" w:hAnsi="宋体" w:cs="宋体"/>
          <w:bCs/>
          <w:color w:val="auto"/>
          <w:sz w:val="28"/>
          <w:szCs w:val="28"/>
          <w:highlight w:val="none"/>
        </w:rPr>
        <w:t>），本项目属于“</w:t>
      </w:r>
      <w:r>
        <w:rPr>
          <w:rFonts w:ascii="宋体" w:hAnsi="宋体" w:cs="宋体"/>
          <w:bCs/>
          <w:color w:val="auto"/>
          <w:sz w:val="28"/>
          <w:szCs w:val="28"/>
          <w:highlight w:val="none"/>
        </w:rPr>
        <w:t>C26</w:t>
      </w:r>
      <w:r>
        <w:rPr>
          <w:rFonts w:hint="eastAsia" w:ascii="宋体" w:hAnsi="宋体" w:cs="宋体"/>
          <w:bCs/>
          <w:color w:val="auto"/>
          <w:sz w:val="28"/>
          <w:szCs w:val="28"/>
          <w:highlight w:val="none"/>
          <w:lang w:val="en-US" w:eastAsia="zh-CN"/>
        </w:rPr>
        <w:t>13无机盐</w:t>
      </w:r>
      <w:r>
        <w:rPr>
          <w:rFonts w:hint="eastAsia" w:ascii="宋体" w:hAnsi="宋体" w:cs="宋体"/>
          <w:bCs/>
          <w:color w:val="auto"/>
          <w:sz w:val="28"/>
          <w:szCs w:val="28"/>
          <w:highlight w:val="none"/>
        </w:rPr>
        <w:t>制造”。</w:t>
      </w:r>
    </w:p>
    <w:p>
      <w:pPr>
        <w:pStyle w:val="32"/>
        <w:numPr>
          <w:ilvl w:val="0"/>
          <w:numId w:val="1"/>
        </w:numPr>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本项目在运营期间，不产生生产性废水及固废，废气排放采取有组织排放模式，排放指标符合《烧碱、聚氯乙烯工业污染物排放标准》</w:t>
      </w:r>
      <w:r>
        <w:rPr>
          <w:rFonts w:ascii="宋体" w:hAnsi="宋体" w:cs="宋体"/>
          <w:bCs/>
          <w:color w:val="auto"/>
          <w:sz w:val="28"/>
          <w:szCs w:val="28"/>
          <w:highlight w:val="none"/>
        </w:rPr>
        <w:t>GB 15581-2016</w:t>
      </w:r>
      <w:r>
        <w:rPr>
          <w:rFonts w:hint="eastAsia" w:ascii="宋体" w:hAnsi="宋体" w:cs="宋体"/>
          <w:bCs/>
          <w:color w:val="auto"/>
          <w:sz w:val="28"/>
          <w:szCs w:val="28"/>
          <w:highlight w:val="none"/>
        </w:rPr>
        <w:t>表</w:t>
      </w:r>
      <w:r>
        <w:rPr>
          <w:rFonts w:ascii="宋体" w:hAnsi="宋体" w:cs="宋体"/>
          <w:bCs/>
          <w:color w:val="auto"/>
          <w:sz w:val="28"/>
          <w:szCs w:val="28"/>
          <w:highlight w:val="none"/>
        </w:rPr>
        <w:t>3</w:t>
      </w:r>
      <w:r>
        <w:rPr>
          <w:rFonts w:hint="eastAsia" w:ascii="宋体" w:hAnsi="宋体" w:cs="宋体"/>
          <w:bCs/>
          <w:color w:val="auto"/>
          <w:sz w:val="28"/>
          <w:szCs w:val="28"/>
          <w:highlight w:val="none"/>
        </w:rPr>
        <w:t>。</w:t>
      </w:r>
    </w:p>
    <w:p>
      <w:pPr>
        <w:pStyle w:val="32"/>
        <w:numPr>
          <w:ilvl w:val="0"/>
          <w:numId w:val="1"/>
        </w:numPr>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本项目实施后有利于解决生产运行中各种工况产生的氯气，并有效消除因</w:t>
      </w:r>
      <w:r>
        <w:rPr>
          <w:rFonts w:hint="eastAsia" w:ascii="宋体" w:hAnsi="宋体" w:cs="宋体"/>
          <w:bCs/>
          <w:color w:val="auto"/>
          <w:sz w:val="28"/>
          <w:szCs w:val="28"/>
          <w:highlight w:val="none"/>
          <w:lang w:val="en-US" w:eastAsia="zh-CN"/>
        </w:rPr>
        <w:t>系统生产</w:t>
      </w:r>
      <w:r>
        <w:rPr>
          <w:rFonts w:hint="eastAsia" w:ascii="宋体" w:hAnsi="宋体" w:cs="宋体"/>
          <w:bCs/>
          <w:color w:val="auto"/>
          <w:sz w:val="28"/>
          <w:szCs w:val="28"/>
          <w:highlight w:val="none"/>
        </w:rPr>
        <w:t>可能导致的事故氯处理分解跑氯事故隐患。</w:t>
      </w:r>
    </w:p>
    <w:p>
      <w:pPr>
        <w:pStyle w:val="32"/>
        <w:numPr>
          <w:ilvl w:val="0"/>
          <w:numId w:val="1"/>
        </w:numPr>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公司有多年的氯碱生产经验，项目的生产工艺具有安全保障、低污染、低能耗的特点，具有较好的经济效益和社会效益。</w:t>
      </w:r>
    </w:p>
    <w:p>
      <w:pPr>
        <w:pStyle w:val="32"/>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因此，本项目可行性研究认为，项目实施后经济效益显著，技术上可行；项目有较强的竞争优势，同时对于丰富公司产品结构，产业链延伸，提高产品附加值具有重要的经济意义。</w:t>
      </w:r>
    </w:p>
    <w:p>
      <w:pPr>
        <w:rPr>
          <w:color w:val="auto"/>
          <w:highlight w:val="none"/>
        </w:rPr>
      </w:pPr>
    </w:p>
    <w:p>
      <w:pPr>
        <w:pStyle w:val="7"/>
        <w:rPr>
          <w:color w:val="auto"/>
          <w:highlight w:val="none"/>
        </w:rPr>
        <w:sectPr>
          <w:headerReference r:id="rId4" w:type="default"/>
          <w:footerReference r:id="rId5" w:type="default"/>
          <w:pgSz w:w="11906" w:h="16838"/>
          <w:pgMar w:top="1440" w:right="1800" w:bottom="1440" w:left="1800" w:header="851" w:footer="992" w:gutter="0"/>
          <w:pgNumType w:start="1"/>
          <w:cols w:space="425" w:num="1"/>
          <w:docGrid w:type="lines" w:linePitch="312" w:charSpace="0"/>
        </w:sectPr>
      </w:pPr>
    </w:p>
    <w:p>
      <w:pPr>
        <w:pStyle w:val="2"/>
        <w:spacing w:before="0" w:after="0" w:line="560" w:lineRule="exact"/>
        <w:jc w:val="center"/>
        <w:rPr>
          <w:rFonts w:ascii="宋体" w:cs="宋体"/>
          <w:color w:val="auto"/>
          <w:sz w:val="32"/>
          <w:szCs w:val="32"/>
          <w:highlight w:val="none"/>
          <w:lang w:val="zh-CN"/>
        </w:rPr>
      </w:pPr>
      <w:bookmarkStart w:id="43" w:name="_Toc8808"/>
      <w:bookmarkStart w:id="44" w:name="_Toc23263"/>
      <w:bookmarkStart w:id="45" w:name="_Toc20280"/>
      <w:bookmarkStart w:id="46" w:name="_Toc2033"/>
      <w:bookmarkStart w:id="47" w:name="_Toc29978"/>
      <w:bookmarkStart w:id="48" w:name="_Toc25455"/>
      <w:bookmarkStart w:id="49" w:name="_Toc10588"/>
      <w:bookmarkStart w:id="50" w:name="_Toc29274"/>
      <w:bookmarkStart w:id="51" w:name="_Toc30735"/>
      <w:bookmarkStart w:id="52" w:name="_Toc18466"/>
      <w:bookmarkStart w:id="53" w:name="_Toc5518"/>
      <w:bookmarkStart w:id="54" w:name="_Toc4809"/>
      <w:bookmarkStart w:id="55" w:name="_Toc13119"/>
      <w:bookmarkStart w:id="56" w:name="_Toc25403"/>
      <w:bookmarkStart w:id="57" w:name="_Toc31231"/>
      <w:bookmarkStart w:id="58" w:name="_Toc5191"/>
      <w:bookmarkStart w:id="59" w:name="_Toc21820"/>
      <w:bookmarkStart w:id="60" w:name="_Toc27640"/>
      <w:bookmarkStart w:id="61" w:name="_Toc30900"/>
      <w:bookmarkStart w:id="62" w:name="_Toc15352"/>
      <w:bookmarkStart w:id="63" w:name="_Toc3180"/>
      <w:bookmarkStart w:id="64" w:name="_Toc358793857"/>
      <w:bookmarkStart w:id="65" w:name="_Toc11846"/>
      <w:r>
        <w:rPr>
          <w:rFonts w:hint="eastAsia" w:ascii="宋体" w:hAnsi="宋体" w:cs="宋体"/>
          <w:color w:val="auto"/>
          <w:sz w:val="32"/>
          <w:szCs w:val="32"/>
          <w:highlight w:val="none"/>
          <w:lang w:val="zh-CN"/>
        </w:rPr>
        <w:t>第二章</w:t>
      </w:r>
      <w:r>
        <w:rPr>
          <w:rFonts w:ascii="宋体" w:hAnsi="宋体" w:cs="宋体"/>
          <w:color w:val="auto"/>
          <w:sz w:val="32"/>
          <w:szCs w:val="32"/>
          <w:highlight w:val="none"/>
          <w:lang w:val="zh-CN"/>
        </w:rPr>
        <w:t xml:space="preserve"> </w:t>
      </w:r>
      <w:r>
        <w:rPr>
          <w:rFonts w:hint="eastAsia" w:ascii="宋体" w:hAnsi="宋体" w:cs="宋体"/>
          <w:color w:val="auto"/>
          <w:sz w:val="32"/>
          <w:szCs w:val="32"/>
          <w:highlight w:val="none"/>
          <w:lang w:val="zh-CN"/>
        </w:rPr>
        <w:t>市场预测分析</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pPr>
        <w:pStyle w:val="33"/>
        <w:spacing w:line="560" w:lineRule="exact"/>
        <w:ind w:firstLine="31680"/>
        <w:outlineLvl w:val="1"/>
        <w:rPr>
          <w:rFonts w:ascii="宋体" w:cs="宋体"/>
          <w:color w:val="auto"/>
          <w:sz w:val="28"/>
          <w:szCs w:val="28"/>
          <w:highlight w:val="none"/>
          <w:lang w:val="zh-CN"/>
        </w:rPr>
      </w:pPr>
      <w:bookmarkStart w:id="66" w:name="_Toc358793858"/>
      <w:bookmarkStart w:id="67" w:name="_Toc286321829"/>
      <w:bookmarkStart w:id="68" w:name="_Toc301246745"/>
      <w:bookmarkStart w:id="69" w:name="_Toc330911905"/>
      <w:bookmarkStart w:id="70" w:name="_Toc32284"/>
      <w:bookmarkStart w:id="71" w:name="_Toc9415"/>
      <w:bookmarkStart w:id="72" w:name="_Toc31245"/>
      <w:bookmarkStart w:id="73" w:name="_Toc1233"/>
      <w:bookmarkStart w:id="74" w:name="_Toc12880"/>
      <w:bookmarkStart w:id="75" w:name="_Toc20782"/>
      <w:bookmarkStart w:id="76" w:name="_Toc30963"/>
      <w:bookmarkStart w:id="77" w:name="_Toc21774"/>
      <w:bookmarkStart w:id="78" w:name="_Toc1954"/>
      <w:bookmarkStart w:id="79" w:name="_Toc25049"/>
      <w:bookmarkStart w:id="80" w:name="_Toc31694"/>
      <w:bookmarkStart w:id="81" w:name="_Toc6823"/>
      <w:bookmarkStart w:id="82" w:name="_Toc18301"/>
      <w:bookmarkStart w:id="83" w:name="_Toc32309"/>
      <w:bookmarkStart w:id="84" w:name="_Toc24898"/>
      <w:bookmarkStart w:id="85" w:name="_Toc22028"/>
      <w:bookmarkStart w:id="86" w:name="_Toc24684"/>
      <w:bookmarkStart w:id="87" w:name="_Toc18758"/>
      <w:bookmarkStart w:id="88" w:name="_Toc21007"/>
      <w:bookmarkStart w:id="89" w:name="_Toc1605"/>
      <w:bookmarkStart w:id="90" w:name="_Toc808"/>
      <w:bookmarkStart w:id="91" w:name="_Toc13426"/>
      <w:r>
        <w:rPr>
          <w:rFonts w:ascii="宋体" w:hAnsi="宋体" w:cs="宋体"/>
          <w:color w:val="auto"/>
          <w:sz w:val="28"/>
          <w:szCs w:val="28"/>
          <w:highlight w:val="none"/>
          <w:lang w:val="zh-CN"/>
        </w:rPr>
        <w:t>2.1</w:t>
      </w:r>
      <w:bookmarkEnd w:id="66"/>
      <w:bookmarkEnd w:id="67"/>
      <w:bookmarkEnd w:id="68"/>
      <w:bookmarkEnd w:id="69"/>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产品</w:t>
      </w:r>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Pr>
          <w:rFonts w:hint="eastAsia" w:ascii="宋体" w:hAnsi="宋体" w:cs="宋体"/>
          <w:color w:val="auto"/>
          <w:sz w:val="28"/>
          <w:szCs w:val="28"/>
          <w:highlight w:val="none"/>
          <w:lang w:val="zh-CN"/>
        </w:rPr>
        <w:t>概述</w:t>
      </w:r>
      <w:bookmarkEnd w:id="89"/>
      <w:bookmarkEnd w:id="90"/>
      <w:bookmarkEnd w:id="91"/>
    </w:p>
    <w:p>
      <w:pPr>
        <w:pStyle w:val="33"/>
        <w:spacing w:line="560" w:lineRule="exact"/>
        <w:ind w:firstLine="31680"/>
        <w:outlineLvl w:val="1"/>
        <w:rPr>
          <w:rFonts w:ascii="宋体" w:cs="宋体"/>
          <w:color w:val="auto"/>
          <w:sz w:val="28"/>
          <w:szCs w:val="28"/>
          <w:highlight w:val="none"/>
        </w:rPr>
      </w:pPr>
      <w:bookmarkStart w:id="92" w:name="_Toc17052"/>
      <w:bookmarkStart w:id="93" w:name="_Toc15963"/>
      <w:bookmarkStart w:id="94" w:name="_Toc24819"/>
      <w:bookmarkStart w:id="95" w:name="_Toc4355"/>
      <w:bookmarkStart w:id="96" w:name="_Toc9029"/>
      <w:bookmarkStart w:id="97" w:name="_Toc330911909"/>
      <w:bookmarkStart w:id="98" w:name="_Toc301246746"/>
      <w:bookmarkStart w:id="99" w:name="_Toc11162"/>
      <w:bookmarkStart w:id="100" w:name="_Toc358793862"/>
      <w:bookmarkStart w:id="101" w:name="_Toc286321830"/>
      <w:r>
        <w:rPr>
          <w:rFonts w:hint="eastAsia" w:ascii="宋体" w:hAnsi="宋体" w:cs="宋体"/>
          <w:color w:val="auto"/>
          <w:sz w:val="28"/>
          <w:szCs w:val="28"/>
          <w:highlight w:val="none"/>
        </w:rPr>
        <w:t>次氯酸钠，化学式</w:t>
      </w:r>
      <w:r>
        <w:rPr>
          <w:rFonts w:ascii="宋体" w:hAnsi="宋体" w:cs="宋体"/>
          <w:color w:val="auto"/>
          <w:sz w:val="28"/>
          <w:szCs w:val="28"/>
          <w:highlight w:val="none"/>
        </w:rPr>
        <w:t>:NaClO</w:t>
      </w:r>
      <w:r>
        <w:rPr>
          <w:rFonts w:hint="eastAsia" w:ascii="宋体" w:hAnsi="宋体" w:cs="宋体"/>
          <w:color w:val="auto"/>
          <w:sz w:val="28"/>
          <w:szCs w:val="28"/>
          <w:highlight w:val="none"/>
        </w:rPr>
        <w:t>；水溶</w:t>
      </w:r>
      <w:r>
        <w:rPr>
          <w:color w:val="auto"/>
          <w:highlight w:val="none"/>
        </w:rPr>
        <w:fldChar w:fldCharType="begin"/>
      </w:r>
      <w:r>
        <w:rPr>
          <w:color w:val="auto"/>
          <w:highlight w:val="none"/>
        </w:rPr>
        <w:instrText xml:space="preserve"> HYPERLINK "https://baike.so.com/doc/3955342-4150585.html" \t "https://baike.so.com/doc/_blank" </w:instrText>
      </w:r>
      <w:r>
        <w:rPr>
          <w:color w:val="auto"/>
          <w:highlight w:val="none"/>
        </w:rPr>
        <w:fldChar w:fldCharType="separate"/>
      </w:r>
      <w:r>
        <w:rPr>
          <w:rFonts w:hint="eastAsia" w:ascii="宋体" w:hAnsi="宋体" w:cs="宋体"/>
          <w:color w:val="auto"/>
          <w:sz w:val="28"/>
          <w:szCs w:val="28"/>
          <w:highlight w:val="none"/>
        </w:rPr>
        <w:t>液碱</w:t>
      </w:r>
      <w:r>
        <w:rPr>
          <w:rFonts w:hint="eastAsia" w:ascii="宋体" w:hAnsi="宋体" w:cs="宋体"/>
          <w:color w:val="auto"/>
          <w:sz w:val="28"/>
          <w:szCs w:val="28"/>
          <w:highlight w:val="none"/>
        </w:rPr>
        <w:fldChar w:fldCharType="end"/>
      </w:r>
      <w:r>
        <w:rPr>
          <w:rFonts w:hint="eastAsia" w:ascii="宋体" w:hAnsi="宋体" w:cs="宋体"/>
          <w:color w:val="auto"/>
          <w:sz w:val="28"/>
          <w:szCs w:val="28"/>
          <w:highlight w:val="none"/>
        </w:rPr>
        <w:t>性，并缓慢分解为</w:t>
      </w:r>
      <w:r>
        <w:rPr>
          <w:rFonts w:ascii="宋体" w:hAnsi="宋体" w:cs="宋体"/>
          <w:color w:val="auto"/>
          <w:sz w:val="28"/>
          <w:szCs w:val="28"/>
          <w:highlight w:val="none"/>
        </w:rPr>
        <w:t>NaCl</w:t>
      </w:r>
      <w:r>
        <w:rPr>
          <w:rFonts w:hint="eastAsia" w:ascii="宋体" w:hAnsi="宋体" w:cs="宋体"/>
          <w:color w:val="auto"/>
          <w:sz w:val="28"/>
          <w:szCs w:val="28"/>
          <w:highlight w:val="none"/>
        </w:rPr>
        <w:t>、</w:t>
      </w:r>
      <w:r>
        <w:rPr>
          <w:rFonts w:ascii="宋体" w:hAnsi="宋体" w:cs="宋体"/>
          <w:color w:val="auto"/>
          <w:sz w:val="28"/>
          <w:szCs w:val="28"/>
          <w:highlight w:val="none"/>
        </w:rPr>
        <w:t>NaClO</w:t>
      </w:r>
      <w:r>
        <w:rPr>
          <w:rFonts w:ascii="Times New Roman" w:hAnsi="Times New Roman"/>
          <w:color w:val="auto"/>
          <w:sz w:val="28"/>
          <w:szCs w:val="28"/>
          <w:highlight w:val="none"/>
        </w:rPr>
        <w:t>₃</w:t>
      </w:r>
      <w:r>
        <w:rPr>
          <w:rFonts w:hint="eastAsia" w:ascii="宋体" w:hAnsi="宋体" w:cs="宋体"/>
          <w:color w:val="auto"/>
          <w:sz w:val="28"/>
          <w:szCs w:val="28"/>
          <w:highlight w:val="none"/>
        </w:rPr>
        <w:t>和</w:t>
      </w:r>
      <w:r>
        <w:rPr>
          <w:rFonts w:ascii="宋体" w:hAnsi="宋体" w:cs="宋体"/>
          <w:color w:val="auto"/>
          <w:sz w:val="28"/>
          <w:szCs w:val="28"/>
          <w:highlight w:val="none"/>
        </w:rPr>
        <w:t>O</w:t>
      </w:r>
      <w:r>
        <w:rPr>
          <w:rFonts w:ascii="Times New Roman" w:hAnsi="Times New Roman"/>
          <w:color w:val="auto"/>
          <w:sz w:val="28"/>
          <w:szCs w:val="28"/>
          <w:highlight w:val="none"/>
        </w:rPr>
        <w:t>₂</w:t>
      </w:r>
      <w:r>
        <w:rPr>
          <w:rFonts w:hint="eastAsia" w:ascii="宋体" w:hAnsi="宋体" w:cs="宋体"/>
          <w:color w:val="auto"/>
          <w:sz w:val="28"/>
          <w:szCs w:val="28"/>
          <w:highlight w:val="none"/>
        </w:rPr>
        <w:t>，受热受光快速分解，强氧化性。</w:t>
      </w:r>
      <w:bookmarkEnd w:id="92"/>
    </w:p>
    <w:p>
      <w:pPr>
        <w:pStyle w:val="33"/>
        <w:spacing w:line="560" w:lineRule="exact"/>
        <w:ind w:firstLine="31680"/>
        <w:outlineLvl w:val="1"/>
        <w:rPr>
          <w:rFonts w:ascii="宋体" w:cs="宋体"/>
          <w:color w:val="auto"/>
          <w:sz w:val="28"/>
          <w:szCs w:val="28"/>
          <w:highlight w:val="none"/>
        </w:rPr>
      </w:pPr>
      <w:bookmarkStart w:id="102" w:name="_Toc3008"/>
      <w:r>
        <w:rPr>
          <w:rFonts w:hint="eastAsia" w:ascii="宋体" w:hAnsi="宋体" w:cs="宋体"/>
          <w:color w:val="auto"/>
          <w:sz w:val="28"/>
          <w:szCs w:val="28"/>
          <w:highlight w:val="none"/>
        </w:rPr>
        <w:t>次氯酸钠主要用于漂白、工业废水处理、造纸、纺织、制药、精细化工、卫生消毒等众多领域。</w:t>
      </w:r>
      <w:bookmarkEnd w:id="102"/>
    </w:p>
    <w:p>
      <w:pPr>
        <w:pStyle w:val="33"/>
        <w:spacing w:line="560" w:lineRule="exact"/>
        <w:ind w:firstLine="31680"/>
        <w:outlineLvl w:val="1"/>
        <w:rPr>
          <w:rFonts w:ascii="宋体" w:cs="宋体"/>
          <w:color w:val="auto"/>
          <w:sz w:val="28"/>
          <w:szCs w:val="28"/>
          <w:highlight w:val="none"/>
        </w:rPr>
      </w:pPr>
      <w:bookmarkStart w:id="103" w:name="_Toc3274"/>
      <w:r>
        <w:rPr>
          <w:rFonts w:ascii="宋体" w:hAnsi="宋体" w:cs="宋体"/>
          <w:color w:val="auto"/>
          <w:sz w:val="28"/>
          <w:szCs w:val="28"/>
          <w:highlight w:val="none"/>
          <w:lang w:val="zh-CN"/>
        </w:rPr>
        <w:t xml:space="preserve">2.2 </w:t>
      </w:r>
      <w:bookmarkEnd w:id="93"/>
      <w:bookmarkEnd w:id="94"/>
      <w:r>
        <w:rPr>
          <w:rFonts w:hint="eastAsia" w:ascii="宋体" w:hAnsi="宋体" w:cs="宋体"/>
          <w:color w:val="auto"/>
          <w:sz w:val="28"/>
          <w:szCs w:val="28"/>
          <w:highlight w:val="none"/>
        </w:rPr>
        <w:t>周边同行产量情况</w:t>
      </w:r>
      <w:bookmarkEnd w:id="103"/>
    </w:p>
    <w:p>
      <w:pPr>
        <w:pStyle w:val="33"/>
        <w:spacing w:line="560" w:lineRule="exact"/>
        <w:ind w:firstLine="31680"/>
        <w:outlineLvl w:val="1"/>
        <w:rPr>
          <w:rFonts w:ascii="宋体" w:cs="宋体"/>
          <w:color w:val="auto"/>
          <w:sz w:val="28"/>
          <w:szCs w:val="28"/>
          <w:highlight w:val="none"/>
        </w:rPr>
      </w:pPr>
      <w:bookmarkStart w:id="104" w:name="_Toc12156"/>
      <w:r>
        <w:rPr>
          <w:rFonts w:hint="eastAsia" w:ascii="宋体" w:hAnsi="宋体" w:cs="宋体"/>
          <w:color w:val="auto"/>
          <w:sz w:val="28"/>
          <w:szCs w:val="28"/>
          <w:highlight w:val="none"/>
        </w:rPr>
        <w:t>根据公司对周边同行产能次氯酸钠产品进行市场调研，各企业产能及产品有效氯含量见表</w:t>
      </w:r>
      <w:r>
        <w:rPr>
          <w:rFonts w:ascii="宋体" w:hAnsi="宋体" w:cs="宋体"/>
          <w:color w:val="auto"/>
          <w:sz w:val="28"/>
          <w:szCs w:val="28"/>
          <w:highlight w:val="none"/>
        </w:rPr>
        <w:t>2.2-1</w:t>
      </w:r>
      <w:r>
        <w:rPr>
          <w:rFonts w:hint="eastAsia" w:ascii="宋体" w:hAnsi="宋体" w:cs="宋体"/>
          <w:color w:val="auto"/>
          <w:sz w:val="28"/>
          <w:szCs w:val="28"/>
          <w:highlight w:val="none"/>
        </w:rPr>
        <w:t>。</w:t>
      </w:r>
      <w:bookmarkEnd w:id="104"/>
    </w:p>
    <w:p>
      <w:pPr>
        <w:pStyle w:val="33"/>
        <w:spacing w:line="560" w:lineRule="exact"/>
        <w:ind w:firstLine="31680"/>
        <w:jc w:val="center"/>
        <w:outlineLvl w:val="1"/>
        <w:rPr>
          <w:rFonts w:ascii="宋体" w:cs="宋体"/>
          <w:color w:val="auto"/>
          <w:sz w:val="24"/>
          <w:szCs w:val="24"/>
          <w:highlight w:val="none"/>
        </w:rPr>
      </w:pPr>
      <w:bookmarkStart w:id="105" w:name="_Toc25699"/>
      <w:r>
        <w:rPr>
          <w:rFonts w:hint="eastAsia" w:ascii="宋体" w:hAnsi="宋体" w:cs="宋体"/>
          <w:color w:val="auto"/>
          <w:sz w:val="24"/>
          <w:szCs w:val="24"/>
          <w:highlight w:val="none"/>
        </w:rPr>
        <w:t>表</w:t>
      </w:r>
      <w:r>
        <w:rPr>
          <w:rFonts w:ascii="宋体" w:hAnsi="宋体" w:cs="宋体"/>
          <w:color w:val="auto"/>
          <w:sz w:val="24"/>
          <w:szCs w:val="24"/>
          <w:highlight w:val="none"/>
        </w:rPr>
        <w:t xml:space="preserve">2.2-1 </w:t>
      </w:r>
      <w:r>
        <w:rPr>
          <w:rFonts w:hint="eastAsia" w:ascii="宋体" w:hAnsi="宋体" w:cs="宋体"/>
          <w:color w:val="auto"/>
          <w:sz w:val="24"/>
          <w:szCs w:val="24"/>
          <w:highlight w:val="none"/>
        </w:rPr>
        <w:t>周边同行企业产能及有效氯含量</w:t>
      </w:r>
      <w:bookmarkEnd w:id="105"/>
    </w:p>
    <w:tbl>
      <w:tblPr>
        <w:tblStyle w:val="16"/>
        <w:tblW w:w="876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01"/>
        <w:gridCol w:w="2880"/>
        <w:gridCol w:w="28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单位名称</w:t>
            </w:r>
          </w:p>
        </w:tc>
        <w:tc>
          <w:tcPr>
            <w:tcW w:w="2880" w:type="dxa"/>
            <w:vAlign w:val="center"/>
          </w:tcPr>
          <w:p>
            <w:pPr>
              <w:jc w:val="center"/>
              <w:rPr>
                <w:rFonts w:ascii="宋体" w:cs="宋体"/>
                <w:color w:val="auto"/>
                <w:szCs w:val="21"/>
                <w:highlight w:val="none"/>
              </w:rPr>
            </w:pPr>
            <w:r>
              <w:rPr>
                <w:rFonts w:hint="eastAsia" w:ascii="宋体" w:hAnsi="宋体" w:cs="宋体"/>
                <w:color w:val="auto"/>
                <w:szCs w:val="21"/>
                <w:highlight w:val="none"/>
              </w:rPr>
              <w:t>产量（万吨</w:t>
            </w:r>
            <w:r>
              <w:rPr>
                <w:rFonts w:ascii="宋体" w:hAnsi="宋体" w:cs="宋体"/>
                <w:color w:val="auto"/>
                <w:szCs w:val="21"/>
                <w:highlight w:val="none"/>
              </w:rPr>
              <w:t>/</w:t>
            </w:r>
            <w:r>
              <w:rPr>
                <w:rFonts w:hint="eastAsia" w:ascii="宋体" w:hAnsi="宋体" w:cs="宋体"/>
                <w:color w:val="auto"/>
                <w:szCs w:val="21"/>
                <w:highlight w:val="none"/>
              </w:rPr>
              <w:t>年）</w:t>
            </w:r>
          </w:p>
        </w:tc>
        <w:tc>
          <w:tcPr>
            <w:tcW w:w="2880" w:type="dxa"/>
            <w:vAlign w:val="center"/>
          </w:tcPr>
          <w:p>
            <w:pPr>
              <w:jc w:val="center"/>
              <w:rPr>
                <w:rFonts w:ascii="宋体" w:cs="宋体"/>
                <w:color w:val="auto"/>
                <w:szCs w:val="21"/>
                <w:highlight w:val="none"/>
              </w:rPr>
            </w:pPr>
            <w:r>
              <w:rPr>
                <w:rFonts w:hint="eastAsia" w:ascii="宋体" w:hAnsi="宋体" w:cs="宋体"/>
                <w:color w:val="auto"/>
                <w:szCs w:val="21"/>
                <w:highlight w:val="none"/>
              </w:rPr>
              <w:t>有效氯含量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中盐常化</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14</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r>
              <w:rPr>
                <w:rFonts w:hint="eastAsia" w:ascii="宋体" w:hAnsi="宋体" w:cs="宋体"/>
                <w:color w:val="auto"/>
                <w:szCs w:val="21"/>
                <w:highlight w:val="none"/>
              </w:rPr>
              <w:t>、</w:t>
            </w:r>
            <w:r>
              <w:rPr>
                <w:rFonts w:ascii="宋体" w:hAnsi="宋体" w:cs="宋体"/>
                <w:color w:val="auto"/>
                <w:szCs w:val="21"/>
                <w:highlight w:val="none"/>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江苏理文</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r>
              <w:rPr>
                <w:rFonts w:hint="eastAsia" w:ascii="宋体" w:hAnsi="宋体" w:cs="宋体"/>
                <w:color w:val="auto"/>
                <w:szCs w:val="21"/>
                <w:highlight w:val="none"/>
              </w:rPr>
              <w:t>、</w:t>
            </w:r>
            <w:r>
              <w:rPr>
                <w:rFonts w:ascii="宋体" w:hAnsi="宋体" w:cs="宋体"/>
                <w:color w:val="auto"/>
                <w:szCs w:val="21"/>
                <w:highlight w:val="none"/>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南通江山农药</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7</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新浦化学（泰兴）</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3</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优利德化工</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1.5-1.8</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江苏富强化工</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1.8-2</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江苏梅兰</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江苏海力化工</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扬农化工</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1.8-2</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张家港双狮</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1.8-2</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中盐红四方</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7-8</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r>
              <w:rPr>
                <w:rFonts w:hint="eastAsia" w:ascii="宋体" w:hAnsi="宋体" w:cs="宋体"/>
                <w:color w:val="auto"/>
                <w:szCs w:val="21"/>
                <w:highlight w:val="none"/>
              </w:rPr>
              <w:t>、</w:t>
            </w:r>
            <w:r>
              <w:rPr>
                <w:rFonts w:ascii="宋体" w:hAnsi="宋体" w:cs="宋体"/>
                <w:color w:val="auto"/>
                <w:szCs w:val="21"/>
                <w:highlight w:val="none"/>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安徽华塑</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2.1-2.5</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安徽华星</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3001" w:type="dxa"/>
            <w:vAlign w:val="center"/>
          </w:tcPr>
          <w:p>
            <w:pPr>
              <w:jc w:val="center"/>
              <w:rPr>
                <w:rFonts w:ascii="宋体" w:cs="宋体"/>
                <w:color w:val="auto"/>
                <w:szCs w:val="21"/>
                <w:highlight w:val="none"/>
              </w:rPr>
            </w:pPr>
            <w:r>
              <w:rPr>
                <w:rFonts w:hint="eastAsia" w:ascii="宋体" w:hAnsi="宋体" w:cs="宋体"/>
                <w:color w:val="auto"/>
                <w:szCs w:val="21"/>
                <w:highlight w:val="none"/>
              </w:rPr>
              <w:t>芜湖融汇</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w:t>
            </w:r>
          </w:p>
        </w:tc>
        <w:tc>
          <w:tcPr>
            <w:tcW w:w="2880" w:type="dxa"/>
            <w:vAlign w:val="center"/>
          </w:tcPr>
          <w:p>
            <w:pPr>
              <w:jc w:val="center"/>
              <w:rPr>
                <w:rFonts w:ascii="宋体" w:cs="宋体"/>
                <w:color w:val="auto"/>
                <w:szCs w:val="21"/>
                <w:highlight w:val="none"/>
              </w:rPr>
            </w:pPr>
            <w:r>
              <w:rPr>
                <w:rFonts w:ascii="宋体" w:hAnsi="宋体" w:cs="宋体"/>
                <w:color w:val="auto"/>
                <w:szCs w:val="21"/>
                <w:highlight w:val="none"/>
              </w:rPr>
              <w:t>10%</w:t>
            </w:r>
          </w:p>
        </w:tc>
      </w:tr>
    </w:tbl>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产能分析：</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1</w:t>
      </w:r>
      <w:r>
        <w:rPr>
          <w:rFonts w:hint="eastAsia" w:ascii="宋体" w:hAnsi="宋体" w:cs="宋体"/>
          <w:color w:val="auto"/>
          <w:sz w:val="28"/>
          <w:szCs w:val="28"/>
          <w:highlight w:val="none"/>
        </w:rPr>
        <w:t>）江苏、安徽地区除了中盐常化、江苏理文、南通江山农药及中盐红四方是单独的生产装置生产次氯酸钠外，其它氯碱企业均是环保装置吸收尾氯形成次氯酸钠，合计产能约</w:t>
      </w:r>
      <w:r>
        <w:rPr>
          <w:rFonts w:ascii="宋体" w:hAnsi="宋体" w:cs="宋体"/>
          <w:color w:val="auto"/>
          <w:sz w:val="28"/>
          <w:szCs w:val="28"/>
          <w:highlight w:val="none"/>
        </w:rPr>
        <w:t>54</w:t>
      </w:r>
      <w:r>
        <w:rPr>
          <w:rFonts w:hint="eastAsia" w:ascii="宋体" w:hAnsi="宋体" w:cs="宋体"/>
          <w:color w:val="auto"/>
          <w:sz w:val="28"/>
          <w:szCs w:val="28"/>
          <w:highlight w:val="none"/>
        </w:rPr>
        <w:t>万吨</w:t>
      </w:r>
      <w:r>
        <w:rPr>
          <w:rFonts w:ascii="宋体" w:hAnsi="宋体" w:cs="宋体"/>
          <w:color w:val="auto"/>
          <w:sz w:val="28"/>
          <w:szCs w:val="28"/>
          <w:highlight w:val="none"/>
        </w:rPr>
        <w:t>/</w:t>
      </w:r>
      <w:r>
        <w:rPr>
          <w:rFonts w:hint="eastAsia" w:ascii="宋体" w:hAnsi="宋体" w:cs="宋体"/>
          <w:color w:val="auto"/>
          <w:sz w:val="28"/>
          <w:szCs w:val="28"/>
          <w:highlight w:val="none"/>
        </w:rPr>
        <w:t>年。</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2</w:t>
      </w:r>
      <w:r>
        <w:rPr>
          <w:rFonts w:hint="eastAsia" w:ascii="宋体" w:hAnsi="宋体" w:cs="宋体"/>
          <w:color w:val="auto"/>
          <w:sz w:val="28"/>
          <w:szCs w:val="28"/>
          <w:highlight w:val="none"/>
        </w:rPr>
        <w:t>）公司产能约</w:t>
      </w:r>
      <w:r>
        <w:rPr>
          <w:rFonts w:ascii="宋体" w:hAnsi="宋体" w:cs="宋体"/>
          <w:color w:val="auto"/>
          <w:sz w:val="28"/>
          <w:szCs w:val="28"/>
          <w:highlight w:val="none"/>
        </w:rPr>
        <w:t>3500</w:t>
      </w:r>
      <w:r>
        <w:rPr>
          <w:rFonts w:hint="eastAsia" w:ascii="宋体" w:hAnsi="宋体" w:cs="宋体"/>
          <w:color w:val="auto"/>
          <w:sz w:val="28"/>
          <w:szCs w:val="28"/>
          <w:highlight w:val="none"/>
        </w:rPr>
        <w:t>吨左右，产能占周边总产能的</w:t>
      </w:r>
      <w:r>
        <w:rPr>
          <w:rFonts w:ascii="宋体" w:hAnsi="宋体" w:cs="宋体"/>
          <w:color w:val="auto"/>
          <w:sz w:val="28"/>
          <w:szCs w:val="28"/>
          <w:highlight w:val="none"/>
        </w:rPr>
        <w:t>0.65%</w:t>
      </w:r>
      <w:r>
        <w:rPr>
          <w:rFonts w:hint="eastAsia" w:ascii="宋体" w:hAnsi="宋体" w:cs="宋体"/>
          <w:color w:val="auto"/>
          <w:sz w:val="28"/>
          <w:szCs w:val="28"/>
          <w:highlight w:val="none"/>
        </w:rPr>
        <w:t>左右。</w:t>
      </w:r>
    </w:p>
    <w:p>
      <w:pPr>
        <w:spacing w:line="560" w:lineRule="exact"/>
        <w:ind w:firstLine="560" w:firstLineChars="200"/>
        <w:outlineLvl w:val="1"/>
        <w:rPr>
          <w:rFonts w:ascii="宋体" w:cs="宋体"/>
          <w:color w:val="auto"/>
          <w:sz w:val="28"/>
          <w:szCs w:val="28"/>
          <w:highlight w:val="none"/>
        </w:rPr>
      </w:pPr>
      <w:bookmarkStart w:id="106" w:name="_Toc872"/>
      <w:r>
        <w:rPr>
          <w:rFonts w:ascii="宋体" w:hAnsi="宋体" w:cs="宋体"/>
          <w:color w:val="auto"/>
          <w:sz w:val="28"/>
          <w:szCs w:val="28"/>
          <w:highlight w:val="none"/>
        </w:rPr>
        <w:t>2.3</w:t>
      </w:r>
      <w:r>
        <w:rPr>
          <w:rFonts w:hint="eastAsia" w:ascii="宋体" w:hAnsi="宋体" w:cs="宋体"/>
          <w:color w:val="auto"/>
          <w:sz w:val="28"/>
          <w:szCs w:val="28"/>
          <w:highlight w:val="none"/>
        </w:rPr>
        <w:t>次氯酸钠下游分布</w:t>
      </w:r>
      <w:bookmarkEnd w:id="106"/>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镇江地区次氯酸钠主要集中在镇江自来水厂污水处理厂金东纸业</w:t>
      </w:r>
      <w:r>
        <w:rPr>
          <w:rFonts w:ascii="宋体" w:hAnsi="宋体" w:cs="宋体"/>
          <w:color w:val="auto"/>
          <w:sz w:val="28"/>
          <w:szCs w:val="28"/>
          <w:highlight w:val="none"/>
        </w:rPr>
        <w:t>3600</w:t>
      </w:r>
      <w:r>
        <w:rPr>
          <w:rFonts w:hint="eastAsia" w:ascii="宋体" w:hAnsi="宋体" w:cs="宋体"/>
          <w:color w:val="auto"/>
          <w:sz w:val="28"/>
          <w:szCs w:val="28"/>
          <w:highlight w:val="none"/>
        </w:rPr>
        <w:t>吨</w:t>
      </w:r>
      <w:r>
        <w:rPr>
          <w:rFonts w:ascii="宋体" w:hAnsi="宋体" w:cs="宋体"/>
          <w:color w:val="auto"/>
          <w:sz w:val="28"/>
          <w:szCs w:val="28"/>
          <w:highlight w:val="none"/>
        </w:rPr>
        <w:t>/</w:t>
      </w:r>
      <w:r>
        <w:rPr>
          <w:rFonts w:hint="eastAsia" w:ascii="宋体" w:hAnsi="宋体" w:cs="宋体"/>
          <w:color w:val="auto"/>
          <w:sz w:val="28"/>
          <w:szCs w:val="28"/>
          <w:highlight w:val="none"/>
        </w:rPr>
        <w:t>年。江苏次氯酸钠用户主集中在苏州、无锡、常州、南通及南京地区，由于次氯酸钠产品的特殊性，受高热容易分解，运输距离不适宜过远，所以我司次氯酸钠只适用于江苏境内销售。</w:t>
      </w:r>
    </w:p>
    <w:p>
      <w:pPr>
        <w:spacing w:line="560" w:lineRule="exact"/>
        <w:ind w:firstLine="560" w:firstLineChars="200"/>
        <w:outlineLvl w:val="1"/>
        <w:rPr>
          <w:rFonts w:ascii="宋体" w:cs="宋体"/>
          <w:color w:val="auto"/>
          <w:sz w:val="28"/>
          <w:szCs w:val="28"/>
          <w:highlight w:val="none"/>
        </w:rPr>
      </w:pPr>
      <w:bookmarkStart w:id="107" w:name="_Toc28449"/>
      <w:r>
        <w:rPr>
          <w:rFonts w:ascii="宋体" w:hAnsi="宋体" w:cs="宋体"/>
          <w:color w:val="auto"/>
          <w:sz w:val="28"/>
          <w:szCs w:val="28"/>
          <w:highlight w:val="none"/>
        </w:rPr>
        <w:t>2.4</w:t>
      </w:r>
      <w:r>
        <w:rPr>
          <w:rFonts w:hint="eastAsia" w:ascii="宋体" w:hAnsi="宋体" w:cs="宋体"/>
          <w:color w:val="auto"/>
          <w:sz w:val="28"/>
          <w:szCs w:val="28"/>
          <w:highlight w:val="none"/>
        </w:rPr>
        <w:t>次氯酸钠市场行情及价格预测</w:t>
      </w:r>
      <w:bookmarkEnd w:id="107"/>
    </w:p>
    <w:bookmarkEnd w:id="95"/>
    <w:bookmarkEnd w:id="96"/>
    <w:bookmarkEnd w:id="97"/>
    <w:bookmarkEnd w:id="98"/>
    <w:bookmarkEnd w:id="99"/>
    <w:bookmarkEnd w:id="100"/>
    <w:bookmarkEnd w:id="101"/>
    <w:p>
      <w:pPr>
        <w:spacing w:line="560" w:lineRule="exact"/>
        <w:ind w:firstLine="560" w:firstLineChars="200"/>
        <w:rPr>
          <w:rFonts w:ascii="宋体" w:cs="宋体"/>
          <w:color w:val="auto"/>
          <w:sz w:val="28"/>
          <w:szCs w:val="28"/>
          <w:highlight w:val="none"/>
        </w:rPr>
      </w:pPr>
      <w:r>
        <w:rPr>
          <w:rFonts w:ascii="宋体" w:hAnsi="宋体" w:cs="宋体"/>
          <w:color w:val="auto"/>
          <w:sz w:val="28"/>
          <w:szCs w:val="28"/>
          <w:highlight w:val="none"/>
        </w:rPr>
        <w:t>2.4.1</w:t>
      </w:r>
      <w:r>
        <w:rPr>
          <w:rFonts w:hint="eastAsia" w:ascii="宋体" w:hAnsi="宋体" w:cs="宋体"/>
          <w:color w:val="auto"/>
          <w:sz w:val="28"/>
          <w:szCs w:val="28"/>
          <w:highlight w:val="none"/>
        </w:rPr>
        <w:t>次氯酸钠市场行情预测</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受国际经济萎靡的影响，今年国内多数化工、纺织、造纸、制药等企业开工均出现下滑，但随着人们对水质的要求越来越高，除了传统的自来水和污水处理厂，更被广泛的应用于工业废水处理、中水回用等领域，如半导体、医疗、饮料等，纺织、造纸中被用于漂白、除臭、除菌、消毒等，另外在制药和有机领域中也随之广泛应用。随着市场需求的不断增加，次氯酸钠的前景会更加广阔。</w:t>
      </w:r>
    </w:p>
    <w:p>
      <w:pPr>
        <w:spacing w:line="560" w:lineRule="exact"/>
        <w:ind w:firstLine="560" w:firstLineChars="200"/>
        <w:rPr>
          <w:rFonts w:ascii="宋体" w:cs="宋体"/>
          <w:color w:val="auto"/>
          <w:sz w:val="28"/>
          <w:szCs w:val="28"/>
          <w:highlight w:val="none"/>
        </w:rPr>
      </w:pPr>
      <w:bookmarkStart w:id="108" w:name="_Toc15002"/>
      <w:bookmarkStart w:id="109" w:name="_Toc20496253"/>
      <w:bookmarkStart w:id="110" w:name="_Toc525720626"/>
      <w:r>
        <w:rPr>
          <w:rFonts w:ascii="宋体" w:hAnsi="宋体" w:cs="宋体"/>
          <w:color w:val="auto"/>
          <w:sz w:val="28"/>
          <w:szCs w:val="28"/>
          <w:highlight w:val="none"/>
        </w:rPr>
        <w:t xml:space="preserve">2.4.2 </w:t>
      </w:r>
      <w:bookmarkEnd w:id="108"/>
      <w:bookmarkEnd w:id="109"/>
      <w:bookmarkEnd w:id="110"/>
      <w:r>
        <w:rPr>
          <w:rFonts w:hint="eastAsia" w:ascii="宋体" w:hAnsi="宋体" w:cs="宋体"/>
          <w:color w:val="auto"/>
          <w:sz w:val="28"/>
          <w:szCs w:val="28"/>
          <w:highlight w:val="none"/>
        </w:rPr>
        <w:t>次氯酸钠市场价格预测</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近三年公司销售价格分别为：</w:t>
      </w:r>
      <w:r>
        <w:rPr>
          <w:rFonts w:ascii="宋体" w:hAnsi="宋体" w:cs="宋体"/>
          <w:color w:val="auto"/>
          <w:sz w:val="28"/>
          <w:szCs w:val="28"/>
          <w:highlight w:val="none"/>
        </w:rPr>
        <w:t>2020</w:t>
      </w:r>
      <w:r>
        <w:rPr>
          <w:rFonts w:hint="eastAsia" w:ascii="宋体" w:hAnsi="宋体" w:cs="宋体"/>
          <w:color w:val="auto"/>
          <w:sz w:val="28"/>
          <w:szCs w:val="28"/>
          <w:highlight w:val="none"/>
        </w:rPr>
        <w:t>年含税销售价</w:t>
      </w:r>
      <w:r>
        <w:rPr>
          <w:rFonts w:ascii="宋体" w:hAnsi="宋体" w:cs="宋体"/>
          <w:color w:val="auto"/>
          <w:sz w:val="28"/>
          <w:szCs w:val="28"/>
          <w:highlight w:val="none"/>
        </w:rPr>
        <w:t>450</w:t>
      </w:r>
      <w:r>
        <w:rPr>
          <w:rFonts w:hint="eastAsia" w:ascii="宋体" w:hAnsi="宋体" w:cs="宋体"/>
          <w:color w:val="auto"/>
          <w:sz w:val="28"/>
          <w:szCs w:val="28"/>
          <w:highlight w:val="none"/>
        </w:rPr>
        <w:t>元</w:t>
      </w:r>
      <w:r>
        <w:rPr>
          <w:rFonts w:ascii="宋体" w:hAnsi="宋体" w:cs="宋体"/>
          <w:color w:val="auto"/>
          <w:sz w:val="28"/>
          <w:szCs w:val="28"/>
          <w:highlight w:val="none"/>
        </w:rPr>
        <w:t>/</w:t>
      </w:r>
      <w:r>
        <w:rPr>
          <w:rFonts w:hint="eastAsia" w:ascii="宋体" w:hAnsi="宋体" w:cs="宋体"/>
          <w:color w:val="auto"/>
          <w:sz w:val="28"/>
          <w:szCs w:val="28"/>
          <w:highlight w:val="none"/>
        </w:rPr>
        <w:t>吨，</w:t>
      </w:r>
      <w:r>
        <w:rPr>
          <w:rFonts w:ascii="宋体" w:hAnsi="宋体" w:cs="宋体"/>
          <w:color w:val="auto"/>
          <w:sz w:val="28"/>
          <w:szCs w:val="28"/>
          <w:highlight w:val="none"/>
        </w:rPr>
        <w:t>2021</w:t>
      </w:r>
      <w:r>
        <w:rPr>
          <w:rFonts w:hint="eastAsia" w:ascii="宋体" w:hAnsi="宋体" w:cs="宋体"/>
          <w:color w:val="auto"/>
          <w:sz w:val="28"/>
          <w:szCs w:val="28"/>
          <w:highlight w:val="none"/>
        </w:rPr>
        <w:t>年含税销售价</w:t>
      </w:r>
      <w:r>
        <w:rPr>
          <w:rFonts w:ascii="宋体" w:hAnsi="宋体" w:cs="宋体"/>
          <w:color w:val="auto"/>
          <w:sz w:val="28"/>
          <w:szCs w:val="28"/>
          <w:highlight w:val="none"/>
        </w:rPr>
        <w:t>550</w:t>
      </w:r>
      <w:r>
        <w:rPr>
          <w:rFonts w:hint="eastAsia" w:ascii="宋体" w:hAnsi="宋体" w:cs="宋体"/>
          <w:color w:val="auto"/>
          <w:sz w:val="28"/>
          <w:szCs w:val="28"/>
          <w:highlight w:val="none"/>
        </w:rPr>
        <w:t>元</w:t>
      </w:r>
      <w:r>
        <w:rPr>
          <w:rFonts w:ascii="宋体" w:hAnsi="宋体" w:cs="宋体"/>
          <w:color w:val="auto"/>
          <w:sz w:val="28"/>
          <w:szCs w:val="28"/>
          <w:highlight w:val="none"/>
        </w:rPr>
        <w:t>/</w:t>
      </w:r>
      <w:r>
        <w:rPr>
          <w:rFonts w:hint="eastAsia" w:ascii="宋体" w:hAnsi="宋体" w:cs="宋体"/>
          <w:color w:val="auto"/>
          <w:sz w:val="28"/>
          <w:szCs w:val="28"/>
          <w:highlight w:val="none"/>
        </w:rPr>
        <w:t>吨；</w:t>
      </w:r>
      <w:r>
        <w:rPr>
          <w:rFonts w:ascii="宋体" w:hAnsi="宋体" w:cs="宋体"/>
          <w:color w:val="auto"/>
          <w:sz w:val="28"/>
          <w:szCs w:val="28"/>
          <w:highlight w:val="none"/>
        </w:rPr>
        <w:t>2022</w:t>
      </w:r>
      <w:r>
        <w:rPr>
          <w:rFonts w:hint="eastAsia" w:ascii="宋体" w:hAnsi="宋体" w:cs="宋体"/>
          <w:color w:val="auto"/>
          <w:sz w:val="28"/>
          <w:szCs w:val="28"/>
          <w:highlight w:val="none"/>
        </w:rPr>
        <w:t>年含税销售价</w:t>
      </w:r>
      <w:r>
        <w:rPr>
          <w:rFonts w:ascii="宋体" w:hAnsi="宋体" w:cs="宋体"/>
          <w:color w:val="auto"/>
          <w:sz w:val="28"/>
          <w:szCs w:val="28"/>
          <w:highlight w:val="none"/>
        </w:rPr>
        <w:t>740</w:t>
      </w:r>
      <w:r>
        <w:rPr>
          <w:rFonts w:hint="eastAsia" w:ascii="宋体" w:hAnsi="宋体" w:cs="宋体"/>
          <w:color w:val="auto"/>
          <w:sz w:val="28"/>
          <w:szCs w:val="28"/>
          <w:highlight w:val="none"/>
        </w:rPr>
        <w:t>元</w:t>
      </w:r>
      <w:r>
        <w:rPr>
          <w:rFonts w:ascii="宋体" w:hAnsi="宋体" w:cs="宋体"/>
          <w:color w:val="auto"/>
          <w:sz w:val="28"/>
          <w:szCs w:val="28"/>
          <w:highlight w:val="none"/>
        </w:rPr>
        <w:t>/</w:t>
      </w:r>
      <w:r>
        <w:rPr>
          <w:rFonts w:hint="eastAsia" w:ascii="宋体" w:hAnsi="宋体" w:cs="宋体"/>
          <w:color w:val="auto"/>
          <w:sz w:val="28"/>
          <w:szCs w:val="28"/>
          <w:highlight w:val="none"/>
        </w:rPr>
        <w:t>吨。</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为了便于计算投资和经济效益，次氯酸钠价格参考近三年的市场平均价格以及对市场进行合理预测，</w:t>
      </w:r>
      <w:r>
        <w:rPr>
          <w:rFonts w:hint="eastAsia" w:ascii="宋体" w:hAnsi="宋体" w:cs="宋体"/>
          <w:color w:val="auto"/>
          <w:sz w:val="28"/>
          <w:szCs w:val="28"/>
          <w:highlight w:val="none"/>
        </w:rPr>
        <w:t>本项目次氯酸钠按照销售价</w:t>
      </w:r>
      <w:r>
        <w:rPr>
          <w:rFonts w:ascii="宋体" w:hAnsi="宋体" w:cs="宋体"/>
          <w:color w:val="auto"/>
          <w:sz w:val="28"/>
          <w:szCs w:val="28"/>
          <w:highlight w:val="none"/>
        </w:rPr>
        <w:t>495.58</w:t>
      </w:r>
      <w:r>
        <w:rPr>
          <w:rFonts w:hint="eastAsia" w:ascii="宋体" w:hAnsi="宋体" w:cs="宋体"/>
          <w:color w:val="auto"/>
          <w:sz w:val="28"/>
          <w:szCs w:val="28"/>
          <w:highlight w:val="none"/>
        </w:rPr>
        <w:t>元</w:t>
      </w:r>
      <w:r>
        <w:rPr>
          <w:rFonts w:ascii="宋体" w:hAnsi="宋体" w:cs="宋体"/>
          <w:color w:val="auto"/>
          <w:sz w:val="28"/>
          <w:szCs w:val="28"/>
          <w:highlight w:val="none"/>
        </w:rPr>
        <w:t>/</w:t>
      </w:r>
      <w:r>
        <w:rPr>
          <w:rFonts w:hint="eastAsia" w:ascii="宋体" w:hAnsi="宋体" w:cs="宋体"/>
          <w:color w:val="auto"/>
          <w:sz w:val="28"/>
          <w:szCs w:val="28"/>
          <w:highlight w:val="none"/>
        </w:rPr>
        <w:t>吨（不含税）计算。</w:t>
      </w:r>
    </w:p>
    <w:p>
      <w:pPr>
        <w:pStyle w:val="33"/>
        <w:spacing w:line="560" w:lineRule="exact"/>
        <w:ind w:firstLine="31680"/>
        <w:rPr>
          <w:rFonts w:ascii="宋体" w:cs="宋体"/>
          <w:color w:val="auto"/>
          <w:sz w:val="28"/>
          <w:szCs w:val="28"/>
          <w:highlight w:val="none"/>
        </w:rPr>
      </w:pPr>
    </w:p>
    <w:p>
      <w:pPr>
        <w:pStyle w:val="33"/>
        <w:spacing w:line="560" w:lineRule="exact"/>
        <w:ind w:firstLine="31680"/>
        <w:rPr>
          <w:rFonts w:ascii="宋体" w:cs="宋体"/>
          <w:color w:val="auto"/>
          <w:sz w:val="28"/>
          <w:szCs w:val="28"/>
          <w:highlight w:val="none"/>
          <w:lang w:val="zh-CN"/>
        </w:rPr>
      </w:pPr>
    </w:p>
    <w:p>
      <w:pPr>
        <w:rPr>
          <w:color w:val="auto"/>
          <w:highlight w:val="none"/>
        </w:rPr>
        <w:sectPr>
          <w:pgSz w:w="11906" w:h="16838"/>
          <w:pgMar w:top="1440" w:right="1800" w:bottom="1440" w:left="1800" w:header="851" w:footer="992" w:gutter="0"/>
          <w:cols w:space="425" w:num="1"/>
          <w:docGrid w:type="lines" w:linePitch="312" w:charSpace="0"/>
        </w:sectPr>
      </w:pPr>
    </w:p>
    <w:p>
      <w:pPr>
        <w:pStyle w:val="2"/>
        <w:spacing w:before="0" w:after="0" w:line="560" w:lineRule="exact"/>
        <w:jc w:val="center"/>
        <w:rPr>
          <w:rFonts w:ascii="宋体" w:cs="宋体"/>
          <w:color w:val="auto"/>
          <w:sz w:val="32"/>
          <w:szCs w:val="32"/>
          <w:highlight w:val="none"/>
          <w:lang w:val="zh-CN"/>
        </w:rPr>
      </w:pPr>
      <w:bookmarkStart w:id="111" w:name="_Toc3019"/>
      <w:bookmarkStart w:id="112" w:name="_Toc6694_WPSOffice_Level1"/>
      <w:bookmarkStart w:id="113" w:name="_Toc5744_WPSOffice_Level1"/>
      <w:bookmarkStart w:id="114" w:name="_Toc29645"/>
      <w:bookmarkStart w:id="115" w:name="_Toc18737_WPSOffice_Level1"/>
      <w:bookmarkStart w:id="116" w:name="_Toc6881"/>
      <w:bookmarkStart w:id="117" w:name="_Toc28067"/>
      <w:bookmarkStart w:id="118" w:name="_Toc360_WPSOffice_Level1"/>
      <w:bookmarkStart w:id="119" w:name="_Toc23371"/>
      <w:bookmarkStart w:id="120" w:name="_Toc9664_WPSOffice_Level2"/>
      <w:bookmarkStart w:id="121" w:name="_Toc20559_WPSOffice_Level2"/>
      <w:bookmarkStart w:id="122" w:name="_Toc16076_WPSOffice_Level2"/>
      <w:bookmarkStart w:id="123" w:name="_Toc5936"/>
      <w:r>
        <w:rPr>
          <w:rFonts w:hint="eastAsia" w:ascii="宋体" w:hAnsi="宋体" w:cs="宋体"/>
          <w:color w:val="auto"/>
          <w:sz w:val="32"/>
          <w:szCs w:val="32"/>
          <w:highlight w:val="none"/>
          <w:lang w:val="zh-CN"/>
        </w:rPr>
        <w:t>第三章</w:t>
      </w:r>
      <w:r>
        <w:rPr>
          <w:rFonts w:ascii="宋体" w:hAnsi="宋体" w:cs="宋体"/>
          <w:color w:val="auto"/>
          <w:sz w:val="32"/>
          <w:szCs w:val="32"/>
          <w:highlight w:val="none"/>
          <w:lang w:val="zh-CN"/>
        </w:rPr>
        <w:t xml:space="preserve"> </w:t>
      </w:r>
      <w:r>
        <w:rPr>
          <w:rFonts w:hint="eastAsia" w:ascii="宋体" w:hAnsi="宋体" w:cs="宋体"/>
          <w:color w:val="auto"/>
          <w:sz w:val="32"/>
          <w:szCs w:val="32"/>
          <w:highlight w:val="none"/>
          <w:lang w:val="zh-CN"/>
        </w:rPr>
        <w:t>生产规模和产品方案</w:t>
      </w:r>
      <w:bookmarkEnd w:id="111"/>
      <w:bookmarkEnd w:id="112"/>
      <w:bookmarkEnd w:id="113"/>
      <w:bookmarkEnd w:id="114"/>
      <w:bookmarkEnd w:id="115"/>
      <w:bookmarkEnd w:id="116"/>
      <w:bookmarkEnd w:id="117"/>
      <w:bookmarkEnd w:id="118"/>
      <w:bookmarkEnd w:id="119"/>
    </w:p>
    <w:bookmarkEnd w:id="120"/>
    <w:bookmarkEnd w:id="121"/>
    <w:bookmarkEnd w:id="122"/>
    <w:bookmarkEnd w:id="123"/>
    <w:p>
      <w:pPr>
        <w:pStyle w:val="32"/>
        <w:spacing w:line="560" w:lineRule="exact"/>
        <w:ind w:firstLine="31680"/>
        <w:jc w:val="left"/>
        <w:outlineLvl w:val="1"/>
        <w:rPr>
          <w:rFonts w:ascii="宋体" w:cs="宋体"/>
          <w:color w:val="auto"/>
          <w:sz w:val="28"/>
          <w:szCs w:val="28"/>
          <w:highlight w:val="none"/>
        </w:rPr>
      </w:pPr>
      <w:bookmarkStart w:id="124" w:name="_Toc11241_WPSOffice_Level2"/>
      <w:bookmarkStart w:id="125" w:name="_Toc7951"/>
      <w:bookmarkStart w:id="126" w:name="_Toc11049"/>
      <w:bookmarkStart w:id="127" w:name="_Toc10173"/>
      <w:bookmarkStart w:id="128" w:name="_Toc13440"/>
      <w:r>
        <w:rPr>
          <w:rFonts w:ascii="宋体" w:hAnsi="宋体" w:cs="宋体"/>
          <w:color w:val="auto"/>
          <w:sz w:val="28"/>
          <w:szCs w:val="28"/>
          <w:highlight w:val="none"/>
        </w:rPr>
        <w:t>3.1</w:t>
      </w:r>
      <w:bookmarkEnd w:id="124"/>
      <w:r>
        <w:rPr>
          <w:rFonts w:hint="eastAsia" w:ascii="宋体" w:hAnsi="宋体" w:cs="宋体"/>
          <w:color w:val="auto"/>
          <w:sz w:val="28"/>
          <w:szCs w:val="28"/>
          <w:highlight w:val="none"/>
        </w:rPr>
        <w:t>生产规模</w:t>
      </w:r>
      <w:bookmarkEnd w:id="125"/>
      <w:bookmarkEnd w:id="126"/>
      <w:bookmarkEnd w:id="127"/>
      <w:bookmarkEnd w:id="128"/>
    </w:p>
    <w:p>
      <w:pPr>
        <w:spacing w:line="500" w:lineRule="exact"/>
        <w:jc w:val="center"/>
        <w:outlineLvl w:val="1"/>
        <w:rPr>
          <w:rFonts w:ascii="宋体" w:cs="宋体"/>
          <w:color w:val="auto"/>
          <w:sz w:val="24"/>
          <w:highlight w:val="none"/>
        </w:rPr>
      </w:pPr>
      <w:bookmarkStart w:id="129" w:name="_Toc2504"/>
      <w:bookmarkStart w:id="130" w:name="_Toc438214610"/>
      <w:bookmarkStart w:id="131" w:name="_Toc15631"/>
      <w:bookmarkStart w:id="132" w:name="_Toc25668"/>
      <w:bookmarkStart w:id="133" w:name="_Toc23838"/>
      <w:r>
        <w:rPr>
          <w:rFonts w:hint="eastAsia" w:ascii="宋体" w:hAnsi="宋体" w:cs="宋体"/>
          <w:color w:val="auto"/>
          <w:sz w:val="24"/>
          <w:highlight w:val="none"/>
        </w:rPr>
        <w:t>表</w:t>
      </w:r>
      <w:r>
        <w:rPr>
          <w:rFonts w:ascii="宋体" w:hAnsi="宋体" w:cs="宋体"/>
          <w:color w:val="auto"/>
          <w:sz w:val="24"/>
          <w:highlight w:val="none"/>
        </w:rPr>
        <w:t xml:space="preserve">3-1 </w:t>
      </w:r>
      <w:r>
        <w:rPr>
          <w:rFonts w:hint="eastAsia" w:ascii="宋体" w:hAnsi="宋体" w:cs="宋体"/>
          <w:color w:val="auto"/>
          <w:sz w:val="24"/>
          <w:highlight w:val="none"/>
        </w:rPr>
        <w:t>装置产能配置</w:t>
      </w:r>
      <w:bookmarkEnd w:id="129"/>
      <w:bookmarkEnd w:id="130"/>
      <w:bookmarkEnd w:id="131"/>
    </w:p>
    <w:bookmarkEnd w:id="132"/>
    <w:bookmarkEnd w:id="133"/>
    <w:tbl>
      <w:tblPr>
        <w:tblStyle w:val="1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60"/>
        <w:gridCol w:w="2050"/>
        <w:gridCol w:w="3424"/>
        <w:gridCol w:w="1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blHeader/>
          <w:jc w:val="center"/>
        </w:trPr>
        <w:tc>
          <w:tcPr>
            <w:tcW w:w="798" w:type="pct"/>
            <w:vAlign w:val="center"/>
          </w:tcPr>
          <w:p>
            <w:pPr>
              <w:widowControl/>
              <w:jc w:val="center"/>
              <w:textAlignment w:val="center"/>
              <w:rPr>
                <w:rFonts w:ascii="宋体" w:cs="宋体"/>
                <w:color w:val="auto"/>
                <w:kern w:val="0"/>
                <w:szCs w:val="21"/>
                <w:highlight w:val="none"/>
              </w:rPr>
            </w:pPr>
            <w:bookmarkStart w:id="134" w:name="_Toc17494_WPSOffice_Level2"/>
            <w:bookmarkStart w:id="135" w:name="_Toc28562"/>
            <w:bookmarkStart w:id="136" w:name="_Toc12733_WPSOffice_Level2"/>
            <w:bookmarkStart w:id="137" w:name="_Toc32345_WPSOffice_Level2"/>
            <w:bookmarkStart w:id="138" w:name="_Toc288_WPSOffice_Level2"/>
            <w:r>
              <w:rPr>
                <w:rFonts w:hint="eastAsia" w:ascii="宋体" w:hAnsi="宋体" w:cs="宋体"/>
                <w:color w:val="auto"/>
                <w:kern w:val="0"/>
                <w:szCs w:val="21"/>
                <w:highlight w:val="none"/>
              </w:rPr>
              <w:t>序号</w:t>
            </w:r>
          </w:p>
        </w:tc>
        <w:tc>
          <w:tcPr>
            <w:tcW w:w="1203"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名称</w:t>
            </w:r>
          </w:p>
        </w:tc>
        <w:tc>
          <w:tcPr>
            <w:tcW w:w="2009"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装置产能</w:t>
            </w:r>
          </w:p>
        </w:tc>
        <w:tc>
          <w:tcPr>
            <w:tcW w:w="98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98"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1</w:t>
            </w:r>
          </w:p>
        </w:tc>
        <w:tc>
          <w:tcPr>
            <w:tcW w:w="1203"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次氯酸钠</w:t>
            </w:r>
          </w:p>
        </w:tc>
        <w:tc>
          <w:tcPr>
            <w:tcW w:w="2009"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80000</w:t>
            </w:r>
          </w:p>
        </w:tc>
        <w:tc>
          <w:tcPr>
            <w:tcW w:w="98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吨</w:t>
            </w:r>
            <w:r>
              <w:rPr>
                <w:rFonts w:ascii="宋体" w:hAnsi="宋体" w:cs="宋体"/>
                <w:color w:val="auto"/>
                <w:kern w:val="0"/>
                <w:szCs w:val="21"/>
                <w:highlight w:val="none"/>
              </w:rPr>
              <w:t>/</w:t>
            </w:r>
            <w:r>
              <w:rPr>
                <w:rFonts w:hint="eastAsia" w:ascii="宋体" w:hAnsi="宋体" w:cs="宋体"/>
                <w:color w:val="auto"/>
                <w:kern w:val="0"/>
                <w:szCs w:val="21"/>
                <w:highlight w:val="none"/>
              </w:rPr>
              <w:t>年</w:t>
            </w:r>
          </w:p>
        </w:tc>
      </w:tr>
    </w:tbl>
    <w:p>
      <w:pPr>
        <w:pStyle w:val="32"/>
        <w:spacing w:line="560" w:lineRule="exact"/>
        <w:ind w:firstLine="31680"/>
        <w:jc w:val="left"/>
        <w:outlineLvl w:val="1"/>
        <w:rPr>
          <w:rFonts w:ascii="宋体" w:cs="宋体"/>
          <w:color w:val="auto"/>
          <w:sz w:val="28"/>
          <w:szCs w:val="28"/>
          <w:highlight w:val="none"/>
        </w:rPr>
      </w:pPr>
      <w:bookmarkStart w:id="139" w:name="_Toc373"/>
      <w:bookmarkStart w:id="140" w:name="_Toc4749"/>
      <w:bookmarkStart w:id="141" w:name="_Toc31295"/>
      <w:bookmarkStart w:id="142" w:name="_Toc24305"/>
      <w:r>
        <w:rPr>
          <w:rFonts w:ascii="宋体" w:hAnsi="宋体" w:cs="宋体"/>
          <w:color w:val="auto"/>
          <w:sz w:val="28"/>
          <w:szCs w:val="28"/>
          <w:highlight w:val="none"/>
        </w:rPr>
        <w:t xml:space="preserve">3.2 </w:t>
      </w:r>
      <w:bookmarkEnd w:id="134"/>
      <w:bookmarkEnd w:id="135"/>
      <w:bookmarkEnd w:id="136"/>
      <w:bookmarkEnd w:id="137"/>
      <w:bookmarkEnd w:id="138"/>
      <w:r>
        <w:rPr>
          <w:rFonts w:hint="eastAsia" w:ascii="宋体" w:hAnsi="宋体" w:cs="宋体"/>
          <w:color w:val="auto"/>
          <w:sz w:val="28"/>
          <w:szCs w:val="28"/>
          <w:highlight w:val="none"/>
        </w:rPr>
        <w:t>生产方案</w:t>
      </w:r>
      <w:bookmarkEnd w:id="139"/>
      <w:bookmarkEnd w:id="140"/>
      <w:bookmarkEnd w:id="141"/>
      <w:bookmarkEnd w:id="142"/>
    </w:p>
    <w:p>
      <w:pPr>
        <w:pStyle w:val="32"/>
        <w:spacing w:line="560" w:lineRule="exact"/>
        <w:ind w:firstLine="31680"/>
        <w:jc w:val="left"/>
        <w:outlineLvl w:val="1"/>
        <w:rPr>
          <w:rFonts w:ascii="宋体" w:cs="宋体"/>
          <w:color w:val="auto"/>
          <w:sz w:val="28"/>
          <w:szCs w:val="28"/>
          <w:highlight w:val="none"/>
        </w:rPr>
      </w:pPr>
      <w:bookmarkStart w:id="143" w:name="_Toc22218"/>
      <w:r>
        <w:rPr>
          <w:rFonts w:hint="eastAsia" w:ascii="宋体" w:hAnsi="宋体" w:cs="宋体"/>
          <w:color w:val="auto"/>
          <w:sz w:val="28"/>
          <w:szCs w:val="28"/>
          <w:highlight w:val="none"/>
        </w:rPr>
        <w:t>本项目操作</w:t>
      </w:r>
      <w:r>
        <w:rPr>
          <w:rFonts w:ascii="宋体" w:hAnsi="宋体" w:cs="宋体"/>
          <w:color w:val="auto"/>
          <w:sz w:val="28"/>
          <w:szCs w:val="28"/>
          <w:highlight w:val="none"/>
        </w:rPr>
        <w:t>8000</w:t>
      </w:r>
      <w:r>
        <w:rPr>
          <w:rFonts w:hint="eastAsia" w:ascii="宋体" w:hAnsi="宋体" w:cs="宋体"/>
          <w:color w:val="auto"/>
          <w:sz w:val="28"/>
          <w:szCs w:val="28"/>
          <w:highlight w:val="none"/>
        </w:rPr>
        <w:t>小时</w:t>
      </w:r>
      <w:r>
        <w:rPr>
          <w:rFonts w:ascii="宋体" w:hAnsi="宋体" w:cs="宋体"/>
          <w:color w:val="auto"/>
          <w:sz w:val="28"/>
          <w:szCs w:val="28"/>
          <w:highlight w:val="none"/>
        </w:rPr>
        <w:t>/</w:t>
      </w:r>
      <w:r>
        <w:rPr>
          <w:rFonts w:hint="eastAsia" w:ascii="宋体" w:hAnsi="宋体" w:cs="宋体"/>
          <w:color w:val="auto"/>
          <w:sz w:val="28"/>
          <w:szCs w:val="28"/>
          <w:highlight w:val="none"/>
        </w:rPr>
        <w:t>年，四班二运转，每班</w:t>
      </w:r>
      <w:r>
        <w:rPr>
          <w:rFonts w:ascii="宋体" w:hAnsi="宋体" w:cs="宋体"/>
          <w:color w:val="auto"/>
          <w:sz w:val="28"/>
          <w:szCs w:val="28"/>
          <w:highlight w:val="none"/>
        </w:rPr>
        <w:t>12</w:t>
      </w:r>
      <w:r>
        <w:rPr>
          <w:rFonts w:hint="eastAsia" w:ascii="宋体" w:hAnsi="宋体" w:cs="宋体"/>
          <w:color w:val="auto"/>
          <w:sz w:val="28"/>
          <w:szCs w:val="28"/>
          <w:highlight w:val="none"/>
        </w:rPr>
        <w:t>小时。</w:t>
      </w:r>
      <w:bookmarkEnd w:id="143"/>
    </w:p>
    <w:p>
      <w:pPr>
        <w:pStyle w:val="32"/>
        <w:spacing w:line="560" w:lineRule="exact"/>
        <w:ind w:firstLine="31680"/>
        <w:jc w:val="left"/>
        <w:outlineLvl w:val="1"/>
        <w:rPr>
          <w:rFonts w:ascii="宋体" w:cs="宋体"/>
          <w:color w:val="auto"/>
          <w:sz w:val="28"/>
          <w:szCs w:val="28"/>
          <w:highlight w:val="none"/>
        </w:rPr>
      </w:pPr>
      <w:bookmarkStart w:id="144" w:name="_Toc371"/>
      <w:bookmarkStart w:id="145" w:name="_Toc11106"/>
      <w:bookmarkStart w:id="146" w:name="_Toc3500"/>
      <w:bookmarkStart w:id="147" w:name="_Toc4149"/>
      <w:r>
        <w:rPr>
          <w:rFonts w:ascii="宋体" w:hAnsi="宋体" w:cs="宋体"/>
          <w:color w:val="auto"/>
          <w:sz w:val="28"/>
          <w:szCs w:val="28"/>
          <w:highlight w:val="none"/>
        </w:rPr>
        <w:t>3.3</w:t>
      </w:r>
      <w:r>
        <w:rPr>
          <w:rFonts w:hint="eastAsia" w:ascii="宋体" w:hAnsi="宋体" w:cs="宋体"/>
          <w:color w:val="auto"/>
          <w:sz w:val="28"/>
          <w:szCs w:val="28"/>
          <w:highlight w:val="none"/>
        </w:rPr>
        <w:t>产品规格及指标标准</w:t>
      </w:r>
      <w:bookmarkEnd w:id="144"/>
      <w:bookmarkEnd w:id="145"/>
      <w:bookmarkEnd w:id="146"/>
      <w:bookmarkEnd w:id="147"/>
    </w:p>
    <w:tbl>
      <w:tblPr>
        <w:tblStyle w:val="1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6"/>
        <w:gridCol w:w="711"/>
        <w:gridCol w:w="712"/>
        <w:gridCol w:w="712"/>
        <w:gridCol w:w="804"/>
        <w:gridCol w:w="719"/>
        <w:gridCol w:w="6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2473" w:type="pct"/>
            <w:vMerge w:val="restart"/>
            <w:noWrap/>
            <w:vAlign w:val="center"/>
          </w:tcPr>
          <w:p>
            <w:pPr>
              <w:widowControl/>
              <w:jc w:val="center"/>
              <w:textAlignment w:val="center"/>
              <w:rPr>
                <w:rFonts w:ascii="宋体" w:cs="宋体"/>
                <w:color w:val="auto"/>
                <w:sz w:val="22"/>
                <w:highlight w:val="none"/>
              </w:rPr>
            </w:pPr>
            <w:r>
              <w:rPr>
                <w:rFonts w:hint="eastAsia" w:ascii="宋体" w:hAnsi="宋体" w:cs="宋体"/>
                <w:color w:val="auto"/>
                <w:kern w:val="0"/>
                <w:sz w:val="22"/>
                <w:highlight w:val="none"/>
              </w:rPr>
              <w:t>项目</w:t>
            </w:r>
          </w:p>
        </w:tc>
        <w:tc>
          <w:tcPr>
            <w:tcW w:w="2526" w:type="pct"/>
            <w:gridSpan w:val="6"/>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GB 19106-2013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2473" w:type="pct"/>
            <w:vMerge w:val="continue"/>
            <w:noWrap/>
            <w:vAlign w:val="center"/>
          </w:tcPr>
          <w:p>
            <w:pPr>
              <w:jc w:val="center"/>
              <w:rPr>
                <w:rFonts w:ascii="宋体" w:cs="宋体"/>
                <w:color w:val="auto"/>
                <w:sz w:val="22"/>
                <w:highlight w:val="none"/>
              </w:rPr>
            </w:pPr>
          </w:p>
        </w:tc>
        <w:tc>
          <w:tcPr>
            <w:tcW w:w="2526" w:type="pct"/>
            <w:gridSpan w:val="6"/>
            <w:noWrap/>
            <w:vAlign w:val="center"/>
          </w:tcPr>
          <w:p>
            <w:pPr>
              <w:widowControl/>
              <w:jc w:val="center"/>
              <w:textAlignment w:val="center"/>
              <w:rPr>
                <w:rFonts w:ascii="宋体" w:cs="宋体"/>
                <w:color w:val="auto"/>
                <w:sz w:val="22"/>
                <w:highlight w:val="none"/>
              </w:rPr>
            </w:pPr>
            <w:r>
              <w:rPr>
                <w:rFonts w:hint="eastAsia" w:ascii="宋体" w:hAnsi="宋体" w:cs="宋体"/>
                <w:color w:val="auto"/>
                <w:kern w:val="0"/>
                <w:sz w:val="22"/>
                <w:highlight w:val="none"/>
              </w:rPr>
              <w:t>型号规格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2473" w:type="pct"/>
            <w:vMerge w:val="continue"/>
            <w:noWrap/>
            <w:vAlign w:val="center"/>
          </w:tcPr>
          <w:p>
            <w:pPr>
              <w:jc w:val="center"/>
              <w:rPr>
                <w:rFonts w:ascii="宋体" w:cs="宋体"/>
                <w:color w:val="auto"/>
                <w:sz w:val="22"/>
                <w:highlight w:val="none"/>
              </w:rPr>
            </w:pPr>
          </w:p>
        </w:tc>
        <w:tc>
          <w:tcPr>
            <w:tcW w:w="1253" w:type="pct"/>
            <w:gridSpan w:val="3"/>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A</w:t>
            </w:r>
            <w:r>
              <w:rPr>
                <w:rFonts w:ascii="宋体" w:hAnsi="宋体" w:cs="宋体"/>
                <w:color w:val="auto"/>
                <w:kern w:val="0"/>
                <w:sz w:val="22"/>
                <w:highlight w:val="none"/>
                <w:vertAlign w:val="superscript"/>
              </w:rPr>
              <w:t>a</w:t>
            </w:r>
          </w:p>
        </w:tc>
        <w:tc>
          <w:tcPr>
            <w:tcW w:w="1273" w:type="pct"/>
            <w:gridSpan w:val="3"/>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B</w:t>
            </w:r>
            <w:r>
              <w:rPr>
                <w:rFonts w:ascii="宋体" w:hAnsi="宋体" w:cs="宋体"/>
                <w:color w:val="auto"/>
                <w:kern w:val="0"/>
                <w:sz w:val="22"/>
                <w:highlight w:val="none"/>
                <w:vertAlign w:val="superscript"/>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2473" w:type="pct"/>
            <w:vMerge w:val="continue"/>
            <w:noWrap/>
            <w:vAlign w:val="center"/>
          </w:tcPr>
          <w:p>
            <w:pPr>
              <w:jc w:val="center"/>
              <w:rPr>
                <w:rFonts w:ascii="宋体" w:cs="宋体"/>
                <w:color w:val="auto"/>
                <w:sz w:val="22"/>
                <w:highlight w:val="none"/>
              </w:rPr>
            </w:pPr>
          </w:p>
        </w:tc>
        <w:tc>
          <w:tcPr>
            <w:tcW w:w="417" w:type="pct"/>
            <w:noWrap/>
            <w:vAlign w:val="center"/>
          </w:tcPr>
          <w:p>
            <w:pPr>
              <w:widowControl/>
              <w:jc w:val="center"/>
              <w:textAlignment w:val="center"/>
              <w:rPr>
                <w:rFonts w:ascii="宋体" w:cs="宋体"/>
                <w:color w:val="auto"/>
                <w:sz w:val="22"/>
                <w:highlight w:val="none"/>
              </w:rPr>
            </w:pPr>
            <w:r>
              <w:rPr>
                <w:rFonts w:hint="eastAsia" w:ascii="宋体" w:hAnsi="宋体" w:cs="宋体"/>
                <w:color w:val="auto"/>
                <w:kern w:val="0"/>
                <w:sz w:val="22"/>
                <w:highlight w:val="none"/>
              </w:rPr>
              <w:t>Ⅰ</w:t>
            </w:r>
          </w:p>
        </w:tc>
        <w:tc>
          <w:tcPr>
            <w:tcW w:w="418" w:type="pct"/>
            <w:noWrap/>
            <w:vAlign w:val="center"/>
          </w:tcPr>
          <w:p>
            <w:pPr>
              <w:widowControl/>
              <w:jc w:val="center"/>
              <w:textAlignment w:val="center"/>
              <w:rPr>
                <w:rFonts w:ascii="宋体" w:cs="宋体"/>
                <w:color w:val="auto"/>
                <w:sz w:val="22"/>
                <w:highlight w:val="none"/>
              </w:rPr>
            </w:pPr>
            <w:r>
              <w:rPr>
                <w:rFonts w:hint="eastAsia" w:ascii="宋体" w:hAnsi="宋体" w:cs="宋体"/>
                <w:color w:val="auto"/>
                <w:kern w:val="0"/>
                <w:sz w:val="22"/>
                <w:highlight w:val="none"/>
              </w:rPr>
              <w:t>Ⅱ</w:t>
            </w:r>
          </w:p>
        </w:tc>
        <w:tc>
          <w:tcPr>
            <w:tcW w:w="417" w:type="pct"/>
            <w:noWrap/>
            <w:vAlign w:val="center"/>
          </w:tcPr>
          <w:p>
            <w:pPr>
              <w:widowControl/>
              <w:jc w:val="center"/>
              <w:textAlignment w:val="center"/>
              <w:rPr>
                <w:rFonts w:ascii="宋体" w:cs="宋体"/>
                <w:color w:val="auto"/>
                <w:sz w:val="22"/>
                <w:highlight w:val="none"/>
              </w:rPr>
            </w:pPr>
            <w:r>
              <w:rPr>
                <w:rFonts w:hint="eastAsia" w:ascii="宋体" w:hAnsi="宋体" w:cs="宋体"/>
                <w:color w:val="auto"/>
                <w:kern w:val="0"/>
                <w:sz w:val="22"/>
                <w:highlight w:val="none"/>
              </w:rPr>
              <w:t>Ⅲ</w:t>
            </w:r>
          </w:p>
        </w:tc>
        <w:tc>
          <w:tcPr>
            <w:tcW w:w="472" w:type="pct"/>
            <w:noWrap/>
            <w:vAlign w:val="center"/>
          </w:tcPr>
          <w:p>
            <w:pPr>
              <w:widowControl/>
              <w:jc w:val="center"/>
              <w:textAlignment w:val="center"/>
              <w:rPr>
                <w:rFonts w:ascii="宋体" w:cs="宋体"/>
                <w:color w:val="auto"/>
                <w:sz w:val="22"/>
                <w:highlight w:val="none"/>
              </w:rPr>
            </w:pPr>
            <w:r>
              <w:rPr>
                <w:rFonts w:hint="eastAsia" w:ascii="宋体" w:hAnsi="宋体" w:cs="宋体"/>
                <w:color w:val="auto"/>
                <w:kern w:val="0"/>
                <w:sz w:val="22"/>
                <w:highlight w:val="none"/>
              </w:rPr>
              <w:t>Ⅰ</w:t>
            </w:r>
          </w:p>
        </w:tc>
        <w:tc>
          <w:tcPr>
            <w:tcW w:w="422" w:type="pct"/>
            <w:noWrap/>
            <w:vAlign w:val="center"/>
          </w:tcPr>
          <w:p>
            <w:pPr>
              <w:widowControl/>
              <w:jc w:val="center"/>
              <w:textAlignment w:val="center"/>
              <w:rPr>
                <w:rFonts w:ascii="宋体" w:cs="宋体"/>
                <w:color w:val="auto"/>
                <w:sz w:val="22"/>
                <w:highlight w:val="none"/>
              </w:rPr>
            </w:pPr>
            <w:r>
              <w:rPr>
                <w:rFonts w:hint="eastAsia" w:ascii="宋体" w:hAnsi="宋体" w:cs="宋体"/>
                <w:color w:val="auto"/>
                <w:kern w:val="0"/>
                <w:sz w:val="22"/>
                <w:highlight w:val="none"/>
              </w:rPr>
              <w:t>Ⅱ</w:t>
            </w:r>
          </w:p>
        </w:tc>
        <w:tc>
          <w:tcPr>
            <w:tcW w:w="377" w:type="pct"/>
            <w:noWrap/>
            <w:vAlign w:val="center"/>
          </w:tcPr>
          <w:p>
            <w:pPr>
              <w:widowControl/>
              <w:jc w:val="center"/>
              <w:textAlignment w:val="center"/>
              <w:rPr>
                <w:rFonts w:ascii="宋体" w:cs="宋体"/>
                <w:color w:val="auto"/>
                <w:sz w:val="22"/>
                <w:highlight w:val="none"/>
              </w:rPr>
            </w:pPr>
            <w:r>
              <w:rPr>
                <w:rFonts w:hint="eastAsia" w:ascii="宋体" w:hAnsi="宋体" w:cs="宋体"/>
                <w:color w:val="auto"/>
                <w:kern w:val="0"/>
                <w:sz w:val="22"/>
                <w:highlight w:val="none"/>
              </w:rPr>
              <w:t>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2473" w:type="pct"/>
            <w:vMerge w:val="continue"/>
            <w:noWrap/>
            <w:vAlign w:val="center"/>
          </w:tcPr>
          <w:p>
            <w:pPr>
              <w:jc w:val="center"/>
              <w:rPr>
                <w:rFonts w:ascii="宋体" w:cs="宋体"/>
                <w:color w:val="auto"/>
                <w:sz w:val="22"/>
                <w:highlight w:val="none"/>
              </w:rPr>
            </w:pPr>
          </w:p>
        </w:tc>
        <w:tc>
          <w:tcPr>
            <w:tcW w:w="2526" w:type="pct"/>
            <w:gridSpan w:val="6"/>
            <w:noWrap/>
            <w:vAlign w:val="center"/>
          </w:tcPr>
          <w:p>
            <w:pPr>
              <w:widowControl/>
              <w:jc w:val="center"/>
              <w:textAlignment w:val="center"/>
              <w:rPr>
                <w:rFonts w:ascii="宋体" w:cs="宋体"/>
                <w:color w:val="auto"/>
                <w:sz w:val="22"/>
                <w:highlight w:val="none"/>
              </w:rPr>
            </w:pPr>
            <w:r>
              <w:rPr>
                <w:rFonts w:hint="eastAsia" w:ascii="宋体" w:hAnsi="宋体" w:cs="宋体"/>
                <w:color w:val="auto"/>
                <w:kern w:val="0"/>
                <w:sz w:val="22"/>
                <w:highlight w:val="none"/>
              </w:rPr>
              <w:t>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2473" w:type="pct"/>
            <w:noWrap/>
            <w:vAlign w:val="center"/>
          </w:tcPr>
          <w:p>
            <w:pPr>
              <w:widowControl/>
              <w:jc w:val="left"/>
              <w:textAlignment w:val="center"/>
              <w:rPr>
                <w:rFonts w:ascii="宋体" w:cs="宋体"/>
                <w:color w:val="auto"/>
                <w:sz w:val="22"/>
                <w:highlight w:val="none"/>
              </w:rPr>
            </w:pPr>
            <w:r>
              <w:rPr>
                <w:rFonts w:hint="eastAsia" w:ascii="宋体" w:hAnsi="宋体" w:cs="宋体"/>
                <w:color w:val="auto"/>
                <w:kern w:val="0"/>
                <w:sz w:val="22"/>
                <w:highlight w:val="none"/>
              </w:rPr>
              <w:t>有效氯（以</w:t>
            </w:r>
            <w:r>
              <w:rPr>
                <w:rFonts w:ascii="宋体" w:hAnsi="宋体" w:cs="宋体"/>
                <w:color w:val="auto"/>
                <w:kern w:val="0"/>
                <w:sz w:val="22"/>
                <w:highlight w:val="none"/>
              </w:rPr>
              <w:t>Cl</w:t>
            </w:r>
            <w:r>
              <w:rPr>
                <w:rFonts w:hint="eastAsia" w:ascii="宋体" w:hAnsi="宋体" w:cs="宋体"/>
                <w:color w:val="auto"/>
                <w:kern w:val="0"/>
                <w:sz w:val="22"/>
                <w:highlight w:val="none"/>
              </w:rPr>
              <w:t>）的质量分数</w:t>
            </w:r>
            <w:r>
              <w:rPr>
                <w:rFonts w:ascii="宋体" w:hAnsi="宋体" w:cs="宋体"/>
                <w:color w:val="auto"/>
                <w:kern w:val="0"/>
                <w:sz w:val="22"/>
                <w:highlight w:val="none"/>
              </w:rPr>
              <w:t xml:space="preserve">            </w:t>
            </w:r>
            <w:r>
              <w:rPr>
                <w:rFonts w:hint="eastAsia" w:ascii="宋体" w:hAnsi="宋体" w:cs="宋体"/>
                <w:color w:val="auto"/>
                <w:kern w:val="0"/>
                <w:sz w:val="22"/>
                <w:highlight w:val="none"/>
              </w:rPr>
              <w:t>≥</w:t>
            </w:r>
          </w:p>
        </w:tc>
        <w:tc>
          <w:tcPr>
            <w:tcW w:w="417" w:type="pct"/>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13.0</w:t>
            </w:r>
          </w:p>
        </w:tc>
        <w:tc>
          <w:tcPr>
            <w:tcW w:w="418" w:type="pct"/>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10.0</w:t>
            </w:r>
          </w:p>
        </w:tc>
        <w:tc>
          <w:tcPr>
            <w:tcW w:w="417" w:type="pct"/>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5.0</w:t>
            </w:r>
          </w:p>
        </w:tc>
        <w:tc>
          <w:tcPr>
            <w:tcW w:w="472" w:type="pct"/>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13.0</w:t>
            </w:r>
          </w:p>
        </w:tc>
        <w:tc>
          <w:tcPr>
            <w:tcW w:w="422" w:type="pct"/>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10.0</w:t>
            </w:r>
          </w:p>
        </w:tc>
        <w:tc>
          <w:tcPr>
            <w:tcW w:w="377" w:type="pct"/>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2473" w:type="pct"/>
            <w:noWrap/>
            <w:vAlign w:val="center"/>
          </w:tcPr>
          <w:p>
            <w:pPr>
              <w:widowControl/>
              <w:jc w:val="left"/>
              <w:textAlignment w:val="center"/>
              <w:rPr>
                <w:rFonts w:ascii="宋体" w:cs="宋体"/>
                <w:color w:val="auto"/>
                <w:sz w:val="22"/>
                <w:highlight w:val="none"/>
              </w:rPr>
            </w:pPr>
            <w:r>
              <w:rPr>
                <w:rFonts w:hint="eastAsia" w:ascii="宋体" w:hAnsi="宋体" w:cs="宋体"/>
                <w:color w:val="auto"/>
                <w:kern w:val="0"/>
                <w:sz w:val="22"/>
                <w:highlight w:val="none"/>
              </w:rPr>
              <w:t>游离碱（以</w:t>
            </w:r>
            <w:r>
              <w:rPr>
                <w:rFonts w:ascii="宋体" w:hAnsi="宋体" w:cs="宋体"/>
                <w:color w:val="auto"/>
                <w:kern w:val="0"/>
                <w:sz w:val="22"/>
                <w:highlight w:val="none"/>
              </w:rPr>
              <w:t>NaOH</w:t>
            </w:r>
            <w:r>
              <w:rPr>
                <w:rFonts w:hint="eastAsia" w:ascii="宋体" w:hAnsi="宋体" w:cs="宋体"/>
                <w:color w:val="auto"/>
                <w:kern w:val="0"/>
                <w:sz w:val="22"/>
                <w:highlight w:val="none"/>
              </w:rPr>
              <w:t>）的质量分数</w:t>
            </w:r>
          </w:p>
        </w:tc>
        <w:tc>
          <w:tcPr>
            <w:tcW w:w="1253" w:type="pct"/>
            <w:gridSpan w:val="3"/>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0.1</w:t>
            </w:r>
            <w:r>
              <w:rPr>
                <w:rFonts w:hint="eastAsia" w:ascii="宋体" w:hAnsi="宋体" w:cs="宋体"/>
                <w:color w:val="auto"/>
                <w:kern w:val="0"/>
                <w:sz w:val="22"/>
                <w:highlight w:val="none"/>
              </w:rPr>
              <w:t>～</w:t>
            </w:r>
            <w:r>
              <w:rPr>
                <w:rFonts w:ascii="宋体" w:hAnsi="宋体" w:cs="宋体"/>
                <w:color w:val="auto"/>
                <w:kern w:val="0"/>
                <w:sz w:val="22"/>
                <w:highlight w:val="none"/>
              </w:rPr>
              <w:t>1.0</w:t>
            </w:r>
          </w:p>
        </w:tc>
        <w:tc>
          <w:tcPr>
            <w:tcW w:w="1273" w:type="pct"/>
            <w:gridSpan w:val="3"/>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0.1</w:t>
            </w:r>
            <w:r>
              <w:rPr>
                <w:rFonts w:hint="eastAsia" w:ascii="宋体" w:hAnsi="宋体" w:cs="宋体"/>
                <w:color w:val="auto"/>
                <w:kern w:val="0"/>
                <w:sz w:val="22"/>
                <w:highlight w:val="none"/>
              </w:rPr>
              <w:t>～</w:t>
            </w:r>
            <w:r>
              <w:rPr>
                <w:rFonts w:ascii="宋体" w:hAnsi="宋体" w:cs="宋体"/>
                <w:color w:val="auto"/>
                <w:kern w:val="0"/>
                <w:sz w:val="22"/>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2473" w:type="pct"/>
            <w:noWrap/>
            <w:vAlign w:val="center"/>
          </w:tcPr>
          <w:p>
            <w:pPr>
              <w:widowControl/>
              <w:jc w:val="left"/>
              <w:textAlignment w:val="center"/>
              <w:rPr>
                <w:rFonts w:ascii="宋体" w:cs="宋体"/>
                <w:color w:val="auto"/>
                <w:sz w:val="22"/>
                <w:highlight w:val="none"/>
              </w:rPr>
            </w:pPr>
            <w:r>
              <w:rPr>
                <w:rFonts w:ascii="宋体" w:hAnsi="宋体" w:cs="宋体"/>
                <w:color w:val="auto"/>
                <w:kern w:val="0"/>
                <w:sz w:val="22"/>
                <w:highlight w:val="none"/>
              </w:rPr>
              <w:t>*</w:t>
            </w:r>
            <w:r>
              <w:rPr>
                <w:rFonts w:hint="eastAsia" w:ascii="宋体" w:hAnsi="宋体" w:cs="宋体"/>
                <w:color w:val="auto"/>
                <w:kern w:val="0"/>
                <w:sz w:val="22"/>
                <w:highlight w:val="none"/>
              </w:rPr>
              <w:t>铁（以</w:t>
            </w:r>
            <w:r>
              <w:rPr>
                <w:rFonts w:ascii="宋体" w:hAnsi="宋体" w:cs="宋体"/>
                <w:color w:val="auto"/>
                <w:kern w:val="0"/>
                <w:sz w:val="22"/>
                <w:highlight w:val="none"/>
              </w:rPr>
              <w:t>Fe</w:t>
            </w:r>
            <w:r>
              <w:rPr>
                <w:rFonts w:hint="eastAsia" w:ascii="宋体" w:hAnsi="宋体" w:cs="宋体"/>
                <w:color w:val="auto"/>
                <w:kern w:val="0"/>
                <w:sz w:val="22"/>
                <w:highlight w:val="none"/>
              </w:rPr>
              <w:t>计）的质量分数</w:t>
            </w:r>
            <w:r>
              <w:rPr>
                <w:rFonts w:ascii="宋体" w:hAnsi="宋体" w:cs="宋体"/>
                <w:color w:val="auto"/>
                <w:kern w:val="0"/>
                <w:sz w:val="22"/>
                <w:highlight w:val="none"/>
              </w:rPr>
              <w:t xml:space="preserve">            </w:t>
            </w:r>
            <w:r>
              <w:rPr>
                <w:rFonts w:hint="eastAsia" w:ascii="宋体" w:hAnsi="宋体" w:cs="宋体"/>
                <w:color w:val="auto"/>
                <w:kern w:val="0"/>
                <w:sz w:val="22"/>
                <w:highlight w:val="none"/>
              </w:rPr>
              <w:t>≤</w:t>
            </w:r>
          </w:p>
        </w:tc>
        <w:tc>
          <w:tcPr>
            <w:tcW w:w="1253" w:type="pct"/>
            <w:gridSpan w:val="3"/>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0.005</w:t>
            </w:r>
          </w:p>
        </w:tc>
        <w:tc>
          <w:tcPr>
            <w:tcW w:w="1273" w:type="pct"/>
            <w:gridSpan w:val="3"/>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0.005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2473" w:type="pct"/>
            <w:noWrap/>
            <w:vAlign w:val="center"/>
          </w:tcPr>
          <w:p>
            <w:pPr>
              <w:widowControl/>
              <w:jc w:val="left"/>
              <w:textAlignment w:val="center"/>
              <w:rPr>
                <w:rFonts w:ascii="宋体" w:cs="宋体"/>
                <w:color w:val="auto"/>
                <w:sz w:val="22"/>
                <w:highlight w:val="none"/>
              </w:rPr>
            </w:pPr>
            <w:r>
              <w:rPr>
                <w:rFonts w:ascii="宋体" w:hAnsi="宋体" w:cs="宋体"/>
                <w:color w:val="auto"/>
                <w:kern w:val="0"/>
                <w:sz w:val="22"/>
                <w:highlight w:val="none"/>
              </w:rPr>
              <w:t>*</w:t>
            </w:r>
            <w:r>
              <w:rPr>
                <w:rFonts w:hint="eastAsia" w:ascii="宋体" w:hAnsi="宋体" w:cs="宋体"/>
                <w:color w:val="auto"/>
                <w:kern w:val="0"/>
                <w:sz w:val="22"/>
                <w:highlight w:val="none"/>
              </w:rPr>
              <w:t>重金属（以</w:t>
            </w:r>
            <w:r>
              <w:rPr>
                <w:rFonts w:ascii="宋体" w:hAnsi="宋体" w:cs="宋体"/>
                <w:color w:val="auto"/>
                <w:kern w:val="0"/>
                <w:sz w:val="22"/>
                <w:highlight w:val="none"/>
              </w:rPr>
              <w:t>Pb</w:t>
            </w:r>
            <w:r>
              <w:rPr>
                <w:rFonts w:hint="eastAsia" w:ascii="宋体" w:hAnsi="宋体" w:cs="宋体"/>
                <w:color w:val="auto"/>
                <w:kern w:val="0"/>
                <w:sz w:val="22"/>
                <w:highlight w:val="none"/>
              </w:rPr>
              <w:t>计）的质量分数</w:t>
            </w:r>
            <w:r>
              <w:rPr>
                <w:rFonts w:ascii="宋体" w:hAnsi="宋体" w:cs="宋体"/>
                <w:color w:val="auto"/>
                <w:kern w:val="0"/>
                <w:sz w:val="22"/>
                <w:highlight w:val="none"/>
              </w:rPr>
              <w:t xml:space="preserve">        </w:t>
            </w:r>
            <w:r>
              <w:rPr>
                <w:rFonts w:hint="eastAsia" w:ascii="宋体" w:hAnsi="宋体" w:cs="宋体"/>
                <w:color w:val="auto"/>
                <w:kern w:val="0"/>
                <w:sz w:val="22"/>
                <w:highlight w:val="none"/>
              </w:rPr>
              <w:t>≤</w:t>
            </w:r>
          </w:p>
        </w:tc>
        <w:tc>
          <w:tcPr>
            <w:tcW w:w="1253" w:type="pct"/>
            <w:gridSpan w:val="3"/>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0.001</w:t>
            </w:r>
          </w:p>
        </w:tc>
        <w:tc>
          <w:tcPr>
            <w:tcW w:w="1273" w:type="pct"/>
            <w:gridSpan w:val="3"/>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2473" w:type="pct"/>
            <w:noWrap/>
            <w:vAlign w:val="center"/>
          </w:tcPr>
          <w:p>
            <w:pPr>
              <w:widowControl/>
              <w:jc w:val="left"/>
              <w:textAlignment w:val="center"/>
              <w:rPr>
                <w:rFonts w:ascii="宋体" w:cs="宋体"/>
                <w:color w:val="auto"/>
                <w:sz w:val="22"/>
                <w:highlight w:val="none"/>
              </w:rPr>
            </w:pPr>
            <w:r>
              <w:rPr>
                <w:rFonts w:ascii="宋体" w:hAnsi="宋体" w:cs="宋体"/>
                <w:color w:val="auto"/>
                <w:kern w:val="0"/>
                <w:sz w:val="22"/>
                <w:highlight w:val="none"/>
              </w:rPr>
              <w:t>*</w:t>
            </w:r>
            <w:r>
              <w:rPr>
                <w:rFonts w:hint="eastAsia" w:ascii="宋体" w:hAnsi="宋体" w:cs="宋体"/>
                <w:color w:val="auto"/>
                <w:kern w:val="0"/>
                <w:sz w:val="22"/>
                <w:highlight w:val="none"/>
              </w:rPr>
              <w:t>砷（以</w:t>
            </w:r>
            <w:r>
              <w:rPr>
                <w:rFonts w:ascii="宋体" w:hAnsi="宋体" w:cs="宋体"/>
                <w:color w:val="auto"/>
                <w:kern w:val="0"/>
                <w:sz w:val="22"/>
                <w:highlight w:val="none"/>
              </w:rPr>
              <w:t>As</w:t>
            </w:r>
            <w:r>
              <w:rPr>
                <w:rFonts w:hint="eastAsia" w:ascii="宋体" w:hAnsi="宋体" w:cs="宋体"/>
                <w:color w:val="auto"/>
                <w:kern w:val="0"/>
                <w:sz w:val="22"/>
                <w:highlight w:val="none"/>
              </w:rPr>
              <w:t>计）的质量分数</w:t>
            </w:r>
            <w:r>
              <w:rPr>
                <w:rFonts w:ascii="宋体" w:hAnsi="宋体" w:cs="宋体"/>
                <w:color w:val="auto"/>
                <w:kern w:val="0"/>
                <w:sz w:val="22"/>
                <w:highlight w:val="none"/>
              </w:rPr>
              <w:t xml:space="preserve">            </w:t>
            </w:r>
            <w:r>
              <w:rPr>
                <w:rFonts w:hint="eastAsia" w:ascii="宋体" w:hAnsi="宋体" w:cs="宋体"/>
                <w:color w:val="auto"/>
                <w:kern w:val="0"/>
                <w:sz w:val="22"/>
                <w:highlight w:val="none"/>
              </w:rPr>
              <w:t>≤</w:t>
            </w:r>
          </w:p>
        </w:tc>
        <w:tc>
          <w:tcPr>
            <w:tcW w:w="1253" w:type="pct"/>
            <w:gridSpan w:val="3"/>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0.0001</w:t>
            </w:r>
          </w:p>
        </w:tc>
        <w:tc>
          <w:tcPr>
            <w:tcW w:w="1273" w:type="pct"/>
            <w:gridSpan w:val="3"/>
            <w:noWrap/>
            <w:vAlign w:val="center"/>
          </w:tcPr>
          <w:p>
            <w:pPr>
              <w:widowControl/>
              <w:jc w:val="center"/>
              <w:textAlignment w:val="center"/>
              <w:rPr>
                <w:rFonts w:ascii="宋体" w:cs="宋体"/>
                <w:color w:val="auto"/>
                <w:sz w:val="22"/>
                <w:highlight w:val="none"/>
              </w:rPr>
            </w:pPr>
            <w:r>
              <w:rPr>
                <w:rFonts w:ascii="宋体" w:hAnsi="宋体" w:cs="宋体"/>
                <w:color w:val="auto"/>
                <w:kern w:val="0"/>
                <w:sz w:val="22"/>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trPr>
        <w:tc>
          <w:tcPr>
            <w:tcW w:w="5000" w:type="pct"/>
            <w:gridSpan w:val="7"/>
            <w:noWrap/>
            <w:vAlign w:val="center"/>
          </w:tcPr>
          <w:p>
            <w:pPr>
              <w:widowControl/>
              <w:jc w:val="left"/>
              <w:textAlignment w:val="center"/>
              <w:rPr>
                <w:rFonts w:ascii="宋体" w:cs="宋体"/>
                <w:color w:val="auto"/>
                <w:sz w:val="22"/>
                <w:highlight w:val="none"/>
              </w:rPr>
            </w:pPr>
            <w:r>
              <w:rPr>
                <w:rFonts w:hint="eastAsia" w:ascii="宋体" w:hAnsi="宋体" w:cs="宋体"/>
                <w:color w:val="auto"/>
                <w:kern w:val="0"/>
                <w:sz w:val="22"/>
                <w:highlight w:val="none"/>
              </w:rPr>
              <w:t>铁、重金属、砷为抽检项目，每月至少进行一次检验。</w:t>
            </w:r>
          </w:p>
        </w:tc>
      </w:tr>
    </w:tbl>
    <w:p>
      <w:pPr>
        <w:pStyle w:val="32"/>
        <w:spacing w:line="560" w:lineRule="exact"/>
        <w:ind w:firstLine="31680"/>
        <w:jc w:val="left"/>
        <w:outlineLvl w:val="1"/>
        <w:rPr>
          <w:rFonts w:ascii="宋体" w:cs="宋体"/>
          <w:color w:val="auto"/>
          <w:sz w:val="28"/>
          <w:szCs w:val="28"/>
          <w:highlight w:val="none"/>
        </w:rPr>
      </w:pPr>
      <w:bookmarkStart w:id="148" w:name="_Toc16496"/>
      <w:r>
        <w:rPr>
          <w:rFonts w:hint="eastAsia" w:ascii="宋体" w:hAnsi="宋体" w:cs="宋体"/>
          <w:color w:val="auto"/>
          <w:sz w:val="28"/>
          <w:szCs w:val="28"/>
          <w:highlight w:val="none"/>
        </w:rPr>
        <w:t>本项目产品有效氯（以</w:t>
      </w:r>
      <w:r>
        <w:rPr>
          <w:rFonts w:ascii="宋体" w:hAnsi="宋体" w:cs="宋体"/>
          <w:color w:val="auto"/>
          <w:sz w:val="28"/>
          <w:szCs w:val="28"/>
          <w:highlight w:val="none"/>
        </w:rPr>
        <w:t>Cl</w:t>
      </w:r>
      <w:r>
        <w:rPr>
          <w:rFonts w:hint="eastAsia" w:ascii="宋体" w:hAnsi="宋体" w:cs="宋体"/>
          <w:color w:val="auto"/>
          <w:sz w:val="28"/>
          <w:szCs w:val="28"/>
          <w:highlight w:val="none"/>
        </w:rPr>
        <w:t>）的质量分数≥</w:t>
      </w:r>
      <w:r>
        <w:rPr>
          <w:rFonts w:ascii="宋体" w:hAnsi="宋体" w:cs="宋体"/>
          <w:color w:val="auto"/>
          <w:sz w:val="28"/>
          <w:szCs w:val="28"/>
          <w:highlight w:val="none"/>
        </w:rPr>
        <w:t>10%</w:t>
      </w:r>
      <w:r>
        <w:rPr>
          <w:rFonts w:hint="eastAsia" w:ascii="宋体" w:hAnsi="宋体" w:cs="宋体"/>
          <w:color w:val="auto"/>
          <w:sz w:val="28"/>
          <w:szCs w:val="28"/>
          <w:highlight w:val="none"/>
        </w:rPr>
        <w:t>，游离碱（以</w:t>
      </w:r>
      <w:r>
        <w:rPr>
          <w:rFonts w:ascii="宋体" w:hAnsi="宋体" w:cs="宋体"/>
          <w:color w:val="auto"/>
          <w:sz w:val="28"/>
          <w:szCs w:val="28"/>
          <w:highlight w:val="none"/>
        </w:rPr>
        <w:t>NaOH</w:t>
      </w:r>
      <w:r>
        <w:rPr>
          <w:rFonts w:hint="eastAsia" w:ascii="宋体" w:hAnsi="宋体" w:cs="宋体"/>
          <w:color w:val="auto"/>
          <w:sz w:val="28"/>
          <w:szCs w:val="28"/>
          <w:highlight w:val="none"/>
        </w:rPr>
        <w:t>）的质量分数＜</w:t>
      </w:r>
      <w:r>
        <w:rPr>
          <w:rFonts w:ascii="宋体" w:hAnsi="宋体" w:cs="宋体"/>
          <w:color w:val="auto"/>
          <w:sz w:val="28"/>
          <w:szCs w:val="28"/>
          <w:highlight w:val="none"/>
        </w:rPr>
        <w:t>1.0%</w:t>
      </w:r>
      <w:r>
        <w:rPr>
          <w:rFonts w:hint="eastAsia" w:ascii="宋体" w:hAnsi="宋体" w:cs="宋体"/>
          <w:color w:val="auto"/>
          <w:sz w:val="28"/>
          <w:szCs w:val="28"/>
          <w:highlight w:val="none"/>
        </w:rPr>
        <w:t>。</w:t>
      </w:r>
      <w:bookmarkEnd w:id="148"/>
    </w:p>
    <w:p>
      <w:pPr>
        <w:pStyle w:val="32"/>
        <w:spacing w:line="560" w:lineRule="exact"/>
        <w:ind w:firstLine="31680"/>
        <w:jc w:val="left"/>
        <w:rPr>
          <w:rFonts w:ascii="宋体" w:cs="宋体"/>
          <w:color w:val="auto"/>
          <w:sz w:val="28"/>
          <w:szCs w:val="28"/>
          <w:highlight w:val="none"/>
        </w:rPr>
        <w:sectPr>
          <w:pgSz w:w="11906" w:h="16838"/>
          <w:pgMar w:top="1440" w:right="1800" w:bottom="1440" w:left="1800" w:header="851" w:footer="992" w:gutter="0"/>
          <w:cols w:space="425" w:num="1"/>
          <w:docGrid w:type="lines" w:linePitch="312" w:charSpace="0"/>
        </w:sectPr>
      </w:pPr>
    </w:p>
    <w:p>
      <w:pPr>
        <w:pStyle w:val="2"/>
        <w:spacing w:before="0" w:after="0" w:line="560" w:lineRule="exact"/>
        <w:jc w:val="center"/>
        <w:rPr>
          <w:rFonts w:ascii="宋体" w:cs="宋体"/>
          <w:color w:val="auto"/>
          <w:sz w:val="32"/>
          <w:szCs w:val="32"/>
          <w:highlight w:val="none"/>
          <w:lang w:val="zh-CN"/>
        </w:rPr>
      </w:pPr>
      <w:bookmarkStart w:id="149" w:name="_Toc29644"/>
      <w:bookmarkStart w:id="150" w:name="_Toc7395"/>
      <w:bookmarkStart w:id="151" w:name="_Toc14630"/>
      <w:bookmarkStart w:id="152" w:name="_Toc11665_WPSOffice_Level1"/>
      <w:bookmarkStart w:id="153" w:name="_Toc12863_WPSOffice_Level1"/>
      <w:bookmarkStart w:id="154" w:name="_Toc18906"/>
      <w:r>
        <w:rPr>
          <w:rFonts w:hint="eastAsia" w:ascii="宋体" w:hAnsi="宋体" w:cs="宋体"/>
          <w:color w:val="auto"/>
          <w:sz w:val="32"/>
          <w:szCs w:val="32"/>
          <w:highlight w:val="none"/>
          <w:lang w:val="zh-CN"/>
        </w:rPr>
        <w:t>第四章</w:t>
      </w:r>
      <w:r>
        <w:rPr>
          <w:rFonts w:ascii="宋体" w:hAnsi="宋体" w:cs="宋体"/>
          <w:color w:val="auto"/>
          <w:sz w:val="32"/>
          <w:szCs w:val="32"/>
          <w:highlight w:val="none"/>
          <w:lang w:val="zh-CN"/>
        </w:rPr>
        <w:t xml:space="preserve"> </w:t>
      </w:r>
      <w:r>
        <w:rPr>
          <w:rFonts w:hint="eastAsia" w:ascii="宋体" w:hAnsi="宋体" w:cs="宋体"/>
          <w:color w:val="auto"/>
          <w:sz w:val="32"/>
          <w:szCs w:val="32"/>
          <w:highlight w:val="none"/>
          <w:lang w:val="zh-CN"/>
        </w:rPr>
        <w:t>工艺技术方案</w:t>
      </w:r>
      <w:bookmarkEnd w:id="149"/>
      <w:bookmarkEnd w:id="150"/>
      <w:bookmarkEnd w:id="151"/>
      <w:bookmarkEnd w:id="152"/>
      <w:bookmarkEnd w:id="153"/>
      <w:bookmarkEnd w:id="154"/>
    </w:p>
    <w:p>
      <w:pPr>
        <w:pStyle w:val="32"/>
        <w:numPr>
          <w:ilvl w:val="0"/>
          <w:numId w:val="2"/>
        </w:numPr>
        <w:spacing w:line="560" w:lineRule="exact"/>
        <w:ind w:firstLine="31680"/>
        <w:jc w:val="left"/>
        <w:outlineLvl w:val="1"/>
        <w:rPr>
          <w:rFonts w:ascii="宋体" w:cs="宋体"/>
          <w:vanish/>
          <w:color w:val="auto"/>
          <w:sz w:val="28"/>
          <w:szCs w:val="28"/>
          <w:highlight w:val="none"/>
        </w:rPr>
      </w:pPr>
      <w:bookmarkStart w:id="155" w:name="_Toc21373"/>
      <w:bookmarkEnd w:id="155"/>
      <w:bookmarkStart w:id="156" w:name="_Toc496512685"/>
      <w:bookmarkEnd w:id="156"/>
      <w:bookmarkStart w:id="157" w:name="_Toc485071720"/>
      <w:bookmarkEnd w:id="157"/>
      <w:bookmarkStart w:id="158" w:name="_Toc485072406"/>
      <w:bookmarkEnd w:id="158"/>
      <w:bookmarkStart w:id="159" w:name="_Toc10162"/>
      <w:bookmarkEnd w:id="159"/>
      <w:bookmarkStart w:id="160" w:name="_Toc468189962"/>
      <w:bookmarkEnd w:id="160"/>
      <w:bookmarkStart w:id="161" w:name="_Toc485130912"/>
      <w:bookmarkEnd w:id="161"/>
      <w:bookmarkStart w:id="162" w:name="_Toc492900201"/>
      <w:bookmarkEnd w:id="162"/>
      <w:bookmarkStart w:id="163" w:name="_Toc475519990"/>
      <w:bookmarkEnd w:id="163"/>
      <w:bookmarkStart w:id="164" w:name="_Toc20894"/>
      <w:bookmarkEnd w:id="164"/>
      <w:bookmarkStart w:id="165" w:name="_Toc474941208"/>
      <w:bookmarkEnd w:id="165"/>
      <w:bookmarkStart w:id="166" w:name="_Toc470509280"/>
      <w:bookmarkEnd w:id="166"/>
      <w:bookmarkStart w:id="167" w:name="_Toc472090431"/>
      <w:bookmarkEnd w:id="167"/>
      <w:bookmarkStart w:id="168" w:name="_Toc486495532"/>
      <w:bookmarkEnd w:id="168"/>
      <w:bookmarkStart w:id="169" w:name="_Toc485148716"/>
      <w:bookmarkEnd w:id="169"/>
      <w:bookmarkStart w:id="170" w:name="_Toc486495262"/>
      <w:bookmarkEnd w:id="170"/>
      <w:bookmarkStart w:id="171" w:name="_Toc467418818"/>
      <w:bookmarkEnd w:id="171"/>
      <w:bookmarkStart w:id="172" w:name="_Toc485131115"/>
      <w:bookmarkEnd w:id="172"/>
      <w:bookmarkStart w:id="173" w:name="_Toc493755102"/>
      <w:bookmarkEnd w:id="173"/>
      <w:bookmarkStart w:id="174" w:name="_Toc485071518"/>
      <w:bookmarkEnd w:id="174"/>
      <w:bookmarkStart w:id="175" w:name="_Toc485072810"/>
      <w:bookmarkEnd w:id="175"/>
      <w:bookmarkStart w:id="176" w:name="_Toc497731103"/>
      <w:bookmarkEnd w:id="176"/>
      <w:bookmarkStart w:id="177" w:name="_Toc485139261"/>
      <w:bookmarkEnd w:id="177"/>
      <w:bookmarkStart w:id="178" w:name="_Toc485079085"/>
      <w:bookmarkEnd w:id="178"/>
      <w:bookmarkStart w:id="179" w:name="_Toc485139463"/>
      <w:bookmarkEnd w:id="179"/>
      <w:bookmarkStart w:id="180" w:name="_Toc485072608"/>
      <w:bookmarkEnd w:id="180"/>
      <w:bookmarkStart w:id="181" w:name="_Toc467419345"/>
      <w:bookmarkEnd w:id="181"/>
      <w:bookmarkStart w:id="182" w:name="_Toc9253"/>
      <w:bookmarkEnd w:id="182"/>
      <w:bookmarkStart w:id="183" w:name="_Toc485073012"/>
      <w:bookmarkEnd w:id="183"/>
      <w:bookmarkStart w:id="184" w:name="_Toc467420190"/>
      <w:bookmarkEnd w:id="184"/>
      <w:bookmarkStart w:id="185" w:name="_Toc472090856"/>
      <w:bookmarkEnd w:id="185"/>
    </w:p>
    <w:p>
      <w:pPr>
        <w:spacing w:line="560" w:lineRule="exact"/>
        <w:ind w:firstLine="560" w:firstLineChars="200"/>
        <w:outlineLvl w:val="1"/>
        <w:rPr>
          <w:rFonts w:ascii="宋体" w:cs="宋体"/>
          <w:color w:val="auto"/>
          <w:sz w:val="28"/>
          <w:szCs w:val="28"/>
          <w:highlight w:val="none"/>
        </w:rPr>
      </w:pPr>
      <w:bookmarkStart w:id="186" w:name="_Toc28403"/>
      <w:bookmarkStart w:id="187" w:name="_Toc503433223"/>
      <w:bookmarkStart w:id="188" w:name="_Toc4271"/>
      <w:bookmarkStart w:id="189" w:name="_Toc30736"/>
      <w:bookmarkStart w:id="190" w:name="_Toc18982_WPSOffice_Level2"/>
      <w:bookmarkStart w:id="191" w:name="_Toc32551_WPSOffice_Level2"/>
      <w:bookmarkStart w:id="192" w:name="_Toc14844"/>
      <w:bookmarkStart w:id="193" w:name="_Toc18494"/>
      <w:bookmarkStart w:id="194" w:name="_Toc6332_WPSOffice_Level2"/>
      <w:bookmarkStart w:id="195" w:name="_Toc23735_WPSOffice_Level2"/>
      <w:r>
        <w:rPr>
          <w:rFonts w:ascii="宋体" w:hAnsi="宋体" w:cs="宋体"/>
          <w:color w:val="auto"/>
          <w:sz w:val="28"/>
          <w:szCs w:val="28"/>
          <w:highlight w:val="none"/>
        </w:rPr>
        <w:t xml:space="preserve">4.1 </w:t>
      </w:r>
      <w:r>
        <w:rPr>
          <w:rFonts w:hint="eastAsia" w:ascii="宋体" w:hAnsi="宋体" w:cs="宋体"/>
          <w:color w:val="auto"/>
          <w:sz w:val="28"/>
          <w:szCs w:val="28"/>
          <w:highlight w:val="none"/>
        </w:rPr>
        <w:t>工艺流程</w:t>
      </w:r>
      <w:bookmarkEnd w:id="186"/>
      <w:bookmarkEnd w:id="187"/>
      <w:bookmarkEnd w:id="188"/>
      <w:bookmarkEnd w:id="189"/>
    </w:p>
    <w:p>
      <w:pPr>
        <w:spacing w:line="560" w:lineRule="exact"/>
        <w:ind w:firstLine="560" w:firstLineChars="200"/>
        <w:outlineLvl w:val="1"/>
        <w:rPr>
          <w:rFonts w:ascii="宋体" w:cs="宋体"/>
          <w:color w:val="auto"/>
          <w:sz w:val="28"/>
          <w:szCs w:val="28"/>
          <w:highlight w:val="none"/>
        </w:rPr>
      </w:pPr>
      <w:r>
        <w:rPr>
          <w:rFonts w:ascii="宋体" w:hAnsi="宋体" w:cs="宋体"/>
          <w:color w:val="auto"/>
          <w:sz w:val="28"/>
          <w:szCs w:val="28"/>
          <w:highlight w:val="none"/>
        </w:rPr>
        <w:t>4.1.1</w:t>
      </w:r>
      <w:r>
        <w:rPr>
          <w:rFonts w:hint="eastAsia" w:ascii="宋体" w:hAnsi="宋体" w:cs="宋体"/>
          <w:color w:val="auto"/>
          <w:sz w:val="28"/>
          <w:szCs w:val="28"/>
          <w:highlight w:val="none"/>
        </w:rPr>
        <w:t>国内主要工艺</w:t>
      </w:r>
    </w:p>
    <w:p>
      <w:pPr>
        <w:spacing w:line="560" w:lineRule="exact"/>
        <w:ind w:firstLine="560" w:firstLineChars="200"/>
        <w:outlineLvl w:val="1"/>
        <w:rPr>
          <w:rFonts w:ascii="宋体" w:cs="宋体"/>
          <w:color w:val="auto"/>
          <w:sz w:val="28"/>
          <w:szCs w:val="28"/>
          <w:highlight w:val="none"/>
        </w:rPr>
      </w:pPr>
      <w:r>
        <w:rPr>
          <w:rFonts w:hint="eastAsia" w:ascii="宋体" w:hAnsi="宋体" w:cs="宋体"/>
          <w:color w:val="auto"/>
          <w:sz w:val="28"/>
          <w:szCs w:val="28"/>
          <w:highlight w:val="none"/>
        </w:rPr>
        <w:t>目前国内常用的</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生产工艺主要有槽式、降膜、塔式工艺。</w:t>
      </w:r>
    </w:p>
    <w:p>
      <w:pPr>
        <w:spacing w:line="560" w:lineRule="exact"/>
        <w:ind w:firstLine="560" w:firstLineChars="200"/>
        <w:outlineLvl w:val="1"/>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1</w:t>
      </w:r>
      <w:r>
        <w:rPr>
          <w:rFonts w:hint="eastAsia" w:ascii="宋体" w:hAnsi="宋体" w:cs="宋体"/>
          <w:color w:val="auto"/>
          <w:sz w:val="28"/>
          <w:szCs w:val="28"/>
          <w:highlight w:val="none"/>
        </w:rPr>
        <w:t>）槽式</w:t>
      </w:r>
    </w:p>
    <w:p>
      <w:pPr>
        <w:spacing w:line="560" w:lineRule="exact"/>
        <w:ind w:firstLine="560" w:firstLineChars="200"/>
        <w:outlineLvl w:val="1"/>
        <w:rPr>
          <w:rFonts w:ascii="宋体" w:cs="宋体"/>
          <w:color w:val="auto"/>
          <w:sz w:val="28"/>
          <w:szCs w:val="28"/>
          <w:highlight w:val="none"/>
        </w:rPr>
      </w:pPr>
      <w:r>
        <w:rPr>
          <w:rFonts w:hint="eastAsia" w:ascii="宋体" w:hAnsi="宋体" w:cs="宋体"/>
          <w:color w:val="auto"/>
          <w:sz w:val="28"/>
          <w:szCs w:val="28"/>
          <w:highlight w:val="none"/>
        </w:rPr>
        <w:t>储槽直接配碱，氯气直接通入槽底，该形式工艺、设备简单，但反应不均匀，易过氯，碱单耗高。</w:t>
      </w:r>
    </w:p>
    <w:p>
      <w:pPr>
        <w:spacing w:line="560" w:lineRule="exact"/>
        <w:ind w:firstLine="560" w:firstLineChars="200"/>
        <w:outlineLvl w:val="1"/>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2</w:t>
      </w:r>
      <w:r>
        <w:rPr>
          <w:rFonts w:hint="eastAsia" w:ascii="宋体" w:hAnsi="宋体" w:cs="宋体"/>
          <w:color w:val="auto"/>
          <w:sz w:val="28"/>
          <w:szCs w:val="28"/>
          <w:highlight w:val="none"/>
        </w:rPr>
        <w:t>）降膜</w:t>
      </w:r>
    </w:p>
    <w:p>
      <w:pPr>
        <w:spacing w:line="560" w:lineRule="exact"/>
        <w:ind w:firstLine="560" w:firstLineChars="200"/>
        <w:outlineLvl w:val="1"/>
        <w:rPr>
          <w:rFonts w:ascii="宋体" w:cs="宋体"/>
          <w:color w:val="auto"/>
          <w:sz w:val="28"/>
          <w:szCs w:val="28"/>
          <w:highlight w:val="none"/>
        </w:rPr>
      </w:pPr>
      <w:r>
        <w:rPr>
          <w:rFonts w:ascii="宋体" w:hAnsi="宋体" w:cs="宋体"/>
          <w:color w:val="auto"/>
          <w:sz w:val="28"/>
          <w:szCs w:val="28"/>
          <w:highlight w:val="none"/>
        </w:rPr>
        <w:t>16%</w:t>
      </w:r>
      <w:r>
        <w:rPr>
          <w:rFonts w:hint="eastAsia" w:ascii="宋体" w:hAnsi="宋体" w:cs="宋体"/>
          <w:color w:val="auto"/>
          <w:sz w:val="28"/>
          <w:szCs w:val="28"/>
          <w:highlight w:val="none"/>
        </w:rPr>
        <w:t>液碱和氯气通过降膜吸收反应生产</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，该工艺的对生产负荷有一定的局限性，产量不高。</w:t>
      </w:r>
    </w:p>
    <w:p>
      <w:pPr>
        <w:spacing w:line="560" w:lineRule="exact"/>
        <w:ind w:firstLine="560" w:firstLineChars="200"/>
        <w:outlineLvl w:val="1"/>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3</w:t>
      </w:r>
      <w:r>
        <w:rPr>
          <w:rFonts w:hint="eastAsia" w:ascii="宋体" w:hAnsi="宋体" w:cs="宋体"/>
          <w:color w:val="auto"/>
          <w:sz w:val="28"/>
          <w:szCs w:val="28"/>
          <w:highlight w:val="none"/>
        </w:rPr>
        <w:t>）塔式</w:t>
      </w:r>
    </w:p>
    <w:p>
      <w:pPr>
        <w:spacing w:line="560" w:lineRule="exact"/>
        <w:ind w:firstLine="560" w:firstLineChars="200"/>
        <w:outlineLvl w:val="1"/>
        <w:rPr>
          <w:rFonts w:ascii="宋体" w:cs="宋体"/>
          <w:color w:val="auto"/>
          <w:sz w:val="28"/>
          <w:szCs w:val="28"/>
          <w:highlight w:val="none"/>
        </w:rPr>
      </w:pPr>
      <w:r>
        <w:rPr>
          <w:rFonts w:hint="eastAsia" w:ascii="宋体" w:hAnsi="宋体" w:cs="宋体"/>
          <w:color w:val="auto"/>
          <w:sz w:val="28"/>
          <w:szCs w:val="28"/>
          <w:highlight w:val="none"/>
        </w:rPr>
        <w:t>氯气和碱液通过填料塔生产</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，工艺成熟稳定、生产弹性大。</w:t>
      </w:r>
    </w:p>
    <w:p>
      <w:pPr>
        <w:spacing w:line="560" w:lineRule="exact"/>
        <w:ind w:firstLine="560" w:firstLineChars="200"/>
        <w:outlineLvl w:val="1"/>
        <w:rPr>
          <w:rFonts w:ascii="宋体" w:cs="宋体"/>
          <w:color w:val="auto"/>
          <w:sz w:val="28"/>
          <w:szCs w:val="28"/>
          <w:highlight w:val="none"/>
        </w:rPr>
      </w:pPr>
      <w:r>
        <w:rPr>
          <w:rFonts w:hint="eastAsia" w:ascii="宋体" w:hAnsi="宋体" w:cs="宋体"/>
          <w:color w:val="auto"/>
          <w:sz w:val="28"/>
          <w:szCs w:val="28"/>
          <w:highlight w:val="none"/>
        </w:rPr>
        <w:t>本项目工艺主要选用塔式生产工艺。</w:t>
      </w:r>
    </w:p>
    <w:p>
      <w:pPr>
        <w:spacing w:line="560" w:lineRule="exact"/>
        <w:ind w:firstLine="560" w:firstLineChars="200"/>
        <w:rPr>
          <w:rFonts w:ascii="宋体" w:cs="宋体"/>
          <w:color w:val="auto"/>
          <w:sz w:val="28"/>
          <w:szCs w:val="28"/>
          <w:highlight w:val="none"/>
        </w:rPr>
      </w:pPr>
      <w:bookmarkStart w:id="196" w:name="_Toc503433224"/>
      <w:r>
        <w:rPr>
          <w:rFonts w:ascii="宋体" w:hAnsi="宋体" w:cs="宋体"/>
          <w:color w:val="auto"/>
          <w:sz w:val="28"/>
          <w:szCs w:val="28"/>
          <w:highlight w:val="none"/>
        </w:rPr>
        <w:t>4.1.2</w:t>
      </w:r>
      <w:r>
        <w:rPr>
          <w:rFonts w:hint="eastAsia" w:ascii="宋体" w:hAnsi="宋体" w:cs="宋体"/>
          <w:color w:val="auto"/>
          <w:sz w:val="28"/>
          <w:szCs w:val="28"/>
          <w:highlight w:val="none"/>
        </w:rPr>
        <w:t>工艺流程说明</w:t>
      </w:r>
      <w:bookmarkEnd w:id="196"/>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氯气经氯气流量调节阀</w:t>
      </w:r>
      <w:r>
        <w:rPr>
          <w:rFonts w:ascii="宋体" w:hAnsi="宋体" w:cs="宋体"/>
          <w:color w:val="auto"/>
          <w:sz w:val="28"/>
          <w:szCs w:val="28"/>
          <w:highlight w:val="none"/>
        </w:rPr>
        <w:t xml:space="preserve"> FV0201 </w:t>
      </w:r>
      <w:r>
        <w:rPr>
          <w:rFonts w:hint="eastAsia" w:ascii="宋体" w:hAnsi="宋体" w:cs="宋体"/>
          <w:color w:val="auto"/>
          <w:sz w:val="28"/>
          <w:szCs w:val="28"/>
          <w:highlight w:val="none"/>
        </w:rPr>
        <w:t>后从</w:t>
      </w:r>
      <w:r>
        <w:rPr>
          <w:rFonts w:hint="eastAsia" w:ascii="宋体" w:hAnsi="宋体" w:cs="宋体"/>
          <w:color w:val="auto"/>
          <w:sz w:val="28"/>
          <w:szCs w:val="28"/>
          <w:highlight w:val="none"/>
          <w:lang w:val="en-US" w:eastAsia="zh-CN"/>
        </w:rPr>
        <w:t>次氯酸钠反应</w:t>
      </w:r>
      <w:r>
        <w:rPr>
          <w:rFonts w:hint="eastAsia" w:ascii="宋体" w:hAnsi="宋体" w:cs="宋体"/>
          <w:color w:val="auto"/>
          <w:sz w:val="28"/>
          <w:szCs w:val="28"/>
          <w:highlight w:val="none"/>
        </w:rPr>
        <w:t>塔</w:t>
      </w:r>
      <w:r>
        <w:rPr>
          <w:rFonts w:ascii="宋体" w:hAnsi="宋体" w:cs="宋体"/>
          <w:color w:val="auto"/>
          <w:sz w:val="28"/>
          <w:szCs w:val="28"/>
          <w:highlight w:val="none"/>
        </w:rPr>
        <w:t xml:space="preserve"> T0201 </w:t>
      </w:r>
      <w:r>
        <w:rPr>
          <w:rFonts w:hint="eastAsia" w:ascii="宋体" w:hAnsi="宋体" w:cs="宋体"/>
          <w:color w:val="auto"/>
          <w:sz w:val="28"/>
          <w:szCs w:val="28"/>
          <w:highlight w:val="none"/>
        </w:rPr>
        <w:t>填料下部入塔在填料段与向下喷淋的碱液逆流接触发生放热反应，经吸收后剩余的其它尾气通过塔上部的碱封将残余的氯气吸收完全，达到尾气排放标准，碱封上部设置碱雾除雾器，并用水雾连续喷洗，防止结碱；废气从</w:t>
      </w:r>
      <w:r>
        <w:rPr>
          <w:rFonts w:hint="eastAsia" w:ascii="宋体" w:hAnsi="宋体" w:cs="宋体"/>
          <w:color w:val="auto"/>
          <w:sz w:val="28"/>
          <w:szCs w:val="28"/>
          <w:highlight w:val="none"/>
          <w:lang w:val="en-US" w:eastAsia="zh-CN"/>
        </w:rPr>
        <w:t>次氯酸钠反应</w:t>
      </w:r>
      <w:r>
        <w:rPr>
          <w:rFonts w:hint="eastAsia" w:ascii="宋体" w:hAnsi="宋体" w:cs="宋体"/>
          <w:color w:val="auto"/>
          <w:sz w:val="28"/>
          <w:szCs w:val="28"/>
          <w:highlight w:val="none"/>
        </w:rPr>
        <w:t>塔顶部经尾气风机</w:t>
      </w:r>
      <w:r>
        <w:rPr>
          <w:rFonts w:ascii="宋体" w:hAnsi="宋体" w:cs="宋体"/>
          <w:color w:val="auto"/>
          <w:sz w:val="28"/>
          <w:szCs w:val="28"/>
          <w:highlight w:val="none"/>
        </w:rPr>
        <w:t xml:space="preserve"> C0201A/B </w:t>
      </w:r>
      <w:r>
        <w:rPr>
          <w:rFonts w:hint="eastAsia" w:ascii="宋体" w:hAnsi="宋体" w:cs="宋体"/>
          <w:color w:val="auto"/>
          <w:sz w:val="28"/>
          <w:szCs w:val="28"/>
          <w:highlight w:val="none"/>
        </w:rPr>
        <w:t>后高空排放。</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吸收氯气后的碱液生成次氯酸钠从塔釜自流进</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循环槽</w:t>
      </w:r>
      <w:r>
        <w:rPr>
          <w:rFonts w:ascii="宋体" w:hAnsi="宋体" w:cs="宋体"/>
          <w:color w:val="auto"/>
          <w:sz w:val="28"/>
          <w:szCs w:val="28"/>
          <w:highlight w:val="none"/>
        </w:rPr>
        <w:t xml:space="preserve"> V0201A/B</w:t>
      </w:r>
      <w:r>
        <w:rPr>
          <w:rFonts w:hint="eastAsia" w:ascii="宋体" w:hAnsi="宋体" w:cs="宋体"/>
          <w:color w:val="auto"/>
          <w:sz w:val="28"/>
          <w:szCs w:val="28"/>
          <w:highlight w:val="none"/>
        </w:rPr>
        <w:t>（自留管线上装有在线</w:t>
      </w:r>
      <w:r>
        <w:rPr>
          <w:rFonts w:ascii="宋体" w:hAnsi="宋体" w:cs="宋体"/>
          <w:color w:val="auto"/>
          <w:sz w:val="28"/>
          <w:szCs w:val="28"/>
          <w:highlight w:val="none"/>
        </w:rPr>
        <w:t xml:space="preserve"> PH </w:t>
      </w:r>
      <w:r>
        <w:rPr>
          <w:rFonts w:hint="eastAsia" w:ascii="宋体" w:hAnsi="宋体" w:cs="宋体"/>
          <w:color w:val="auto"/>
          <w:sz w:val="28"/>
          <w:szCs w:val="28"/>
          <w:highlight w:val="none"/>
        </w:rPr>
        <w:t>和</w:t>
      </w:r>
      <w:r>
        <w:rPr>
          <w:rFonts w:ascii="宋体" w:hAnsi="宋体" w:cs="宋体"/>
          <w:color w:val="auto"/>
          <w:sz w:val="28"/>
          <w:szCs w:val="28"/>
          <w:highlight w:val="none"/>
        </w:rPr>
        <w:t xml:space="preserve"> ORP </w:t>
      </w:r>
      <w:r>
        <w:rPr>
          <w:rFonts w:hint="eastAsia" w:ascii="宋体" w:hAnsi="宋体" w:cs="宋体"/>
          <w:color w:val="auto"/>
          <w:sz w:val="28"/>
          <w:szCs w:val="28"/>
          <w:highlight w:val="none"/>
        </w:rPr>
        <w:t>检测），经</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循环泵</w:t>
      </w:r>
      <w:r>
        <w:rPr>
          <w:rFonts w:ascii="宋体" w:hAnsi="宋体" w:cs="宋体"/>
          <w:color w:val="auto"/>
          <w:sz w:val="28"/>
          <w:szCs w:val="28"/>
          <w:highlight w:val="none"/>
        </w:rPr>
        <w:t xml:space="preserve"> P0201A/B </w:t>
      </w:r>
      <w:r>
        <w:rPr>
          <w:rFonts w:hint="eastAsia" w:ascii="宋体" w:hAnsi="宋体" w:cs="宋体"/>
          <w:color w:val="auto"/>
          <w:sz w:val="28"/>
          <w:szCs w:val="28"/>
          <w:highlight w:val="none"/>
        </w:rPr>
        <w:t>后一部分</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经过换热器</w:t>
      </w:r>
      <w:r>
        <w:rPr>
          <w:rFonts w:ascii="宋体" w:hAnsi="宋体" w:cs="宋体"/>
          <w:color w:val="auto"/>
          <w:sz w:val="28"/>
          <w:szCs w:val="28"/>
          <w:highlight w:val="none"/>
        </w:rPr>
        <w:t xml:space="preserve"> E0201 </w:t>
      </w:r>
      <w:r>
        <w:rPr>
          <w:rFonts w:hint="eastAsia" w:ascii="宋体" w:hAnsi="宋体" w:cs="宋体"/>
          <w:color w:val="auto"/>
          <w:sz w:val="28"/>
          <w:szCs w:val="28"/>
          <w:highlight w:val="none"/>
        </w:rPr>
        <w:t>冷却后与</w:t>
      </w:r>
      <w:r>
        <w:rPr>
          <w:rFonts w:hint="eastAsia" w:ascii="宋体" w:hAnsi="宋体" w:cs="宋体"/>
          <w:color w:val="auto"/>
          <w:sz w:val="28"/>
          <w:szCs w:val="28"/>
          <w:highlight w:val="none"/>
          <w:lang w:val="en-US" w:eastAsia="zh-CN"/>
        </w:rPr>
        <w:t>13</w:t>
      </w:r>
      <w:r>
        <w:rPr>
          <w:rFonts w:ascii="宋体" w:hAnsi="宋体" w:cs="宋体"/>
          <w:color w:val="auto"/>
          <w:sz w:val="28"/>
          <w:szCs w:val="28"/>
          <w:highlight w:val="none"/>
        </w:rPr>
        <w:t>%</w:t>
      </w:r>
      <w:r>
        <w:rPr>
          <w:rFonts w:hint="eastAsia" w:ascii="宋体" w:hAnsi="宋体" w:cs="宋体"/>
          <w:color w:val="auto"/>
          <w:sz w:val="28"/>
          <w:szCs w:val="28"/>
          <w:highlight w:val="none"/>
        </w:rPr>
        <w:t>的新鲜碱液在</w:t>
      </w:r>
      <w:r>
        <w:rPr>
          <w:rFonts w:ascii="宋体" w:hAnsi="宋体" w:cs="宋体"/>
          <w:color w:val="auto"/>
          <w:sz w:val="28"/>
          <w:szCs w:val="28"/>
          <w:highlight w:val="none"/>
        </w:rPr>
        <w:t xml:space="preserve"> R0201 </w:t>
      </w:r>
      <w:r>
        <w:rPr>
          <w:rFonts w:hint="eastAsia" w:ascii="宋体" w:hAnsi="宋体" w:cs="宋体"/>
          <w:color w:val="auto"/>
          <w:sz w:val="28"/>
          <w:szCs w:val="28"/>
          <w:highlight w:val="none"/>
        </w:rPr>
        <w:t>混合器中混合后从</w:t>
      </w:r>
      <w:r>
        <w:rPr>
          <w:rFonts w:hint="eastAsia" w:ascii="宋体" w:hAnsi="宋体" w:cs="宋体"/>
          <w:color w:val="auto"/>
          <w:sz w:val="28"/>
          <w:szCs w:val="28"/>
          <w:highlight w:val="none"/>
          <w:lang w:val="en-US" w:eastAsia="zh-CN"/>
        </w:rPr>
        <w:t>次氯酸钠反应</w:t>
      </w:r>
      <w:r>
        <w:rPr>
          <w:rFonts w:hint="eastAsia" w:ascii="宋体" w:hAnsi="宋体" w:cs="宋体"/>
          <w:color w:val="auto"/>
          <w:sz w:val="28"/>
          <w:szCs w:val="28"/>
          <w:highlight w:val="none"/>
        </w:rPr>
        <w:t>塔上部进入塔内分布器，混合后的碱液分流一部分至泡罩段连续置换，泡罩段溢流碱液回到分布器；</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循环泵</w:t>
      </w:r>
      <w:r>
        <w:rPr>
          <w:rFonts w:ascii="宋体" w:hAnsi="宋体" w:cs="宋体"/>
          <w:color w:val="auto"/>
          <w:sz w:val="28"/>
          <w:szCs w:val="28"/>
          <w:highlight w:val="none"/>
        </w:rPr>
        <w:t xml:space="preserve"> P0201A/B </w:t>
      </w:r>
      <w:r>
        <w:rPr>
          <w:rFonts w:hint="eastAsia" w:ascii="宋体" w:hAnsi="宋体" w:cs="宋体"/>
          <w:color w:val="auto"/>
          <w:sz w:val="28"/>
          <w:szCs w:val="28"/>
          <w:highlight w:val="none"/>
        </w:rPr>
        <w:t>后另一部分</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连续送往</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中间槽</w:t>
      </w:r>
      <w:r>
        <w:rPr>
          <w:rFonts w:ascii="宋体" w:hAnsi="宋体" w:cs="宋体"/>
          <w:color w:val="auto"/>
          <w:sz w:val="28"/>
          <w:szCs w:val="28"/>
          <w:highlight w:val="none"/>
        </w:rPr>
        <w:t xml:space="preserve"> V0203</w:t>
      </w:r>
      <w:r>
        <w:rPr>
          <w:rFonts w:hint="eastAsia" w:ascii="宋体" w:hAnsi="宋体" w:cs="宋体"/>
          <w:color w:val="auto"/>
          <w:sz w:val="28"/>
          <w:szCs w:val="28"/>
          <w:highlight w:val="none"/>
        </w:rPr>
        <w:t>，再由</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输送泵</w:t>
      </w:r>
      <w:r>
        <w:rPr>
          <w:rFonts w:ascii="宋体" w:hAnsi="宋体" w:cs="宋体"/>
          <w:color w:val="auto"/>
          <w:sz w:val="28"/>
          <w:szCs w:val="28"/>
          <w:highlight w:val="none"/>
        </w:rPr>
        <w:t xml:space="preserve"> P0203A/B </w:t>
      </w:r>
      <w:r>
        <w:rPr>
          <w:rFonts w:hint="eastAsia" w:ascii="宋体" w:hAnsi="宋体" w:cs="宋体"/>
          <w:color w:val="auto"/>
          <w:sz w:val="28"/>
          <w:szCs w:val="28"/>
          <w:highlight w:val="none"/>
        </w:rPr>
        <w:t>送往罐区或用户。</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混合器</w:t>
      </w:r>
      <w:r>
        <w:rPr>
          <w:rFonts w:ascii="宋体" w:hAnsi="宋体" w:cs="宋体"/>
          <w:color w:val="auto"/>
          <w:sz w:val="28"/>
          <w:szCs w:val="28"/>
          <w:highlight w:val="none"/>
        </w:rPr>
        <w:t xml:space="preserve"> R0201 </w:t>
      </w:r>
      <w:r>
        <w:rPr>
          <w:rFonts w:hint="eastAsia" w:ascii="宋体" w:hAnsi="宋体" w:cs="宋体"/>
          <w:color w:val="auto"/>
          <w:sz w:val="28"/>
          <w:szCs w:val="28"/>
          <w:highlight w:val="none"/>
        </w:rPr>
        <w:t>中</w:t>
      </w:r>
      <w:r>
        <w:rPr>
          <w:rFonts w:hint="eastAsia" w:ascii="宋体" w:hAnsi="宋体" w:cs="宋体"/>
          <w:color w:val="auto"/>
          <w:sz w:val="28"/>
          <w:szCs w:val="28"/>
          <w:highlight w:val="none"/>
          <w:lang w:val="en-US" w:eastAsia="zh-CN"/>
        </w:rPr>
        <w:t>13</w:t>
      </w:r>
      <w:r>
        <w:rPr>
          <w:rFonts w:ascii="宋体" w:hAnsi="宋体" w:cs="宋体"/>
          <w:color w:val="auto"/>
          <w:sz w:val="28"/>
          <w:szCs w:val="28"/>
          <w:highlight w:val="none"/>
        </w:rPr>
        <w:t>%</w:t>
      </w:r>
      <w:r>
        <w:rPr>
          <w:rFonts w:hint="eastAsia" w:ascii="宋体" w:hAnsi="宋体" w:cs="宋体"/>
          <w:color w:val="auto"/>
          <w:sz w:val="28"/>
          <w:szCs w:val="28"/>
          <w:highlight w:val="none"/>
        </w:rPr>
        <w:t>的新鲜碱液来自碱泵</w:t>
      </w:r>
      <w:r>
        <w:rPr>
          <w:rFonts w:ascii="宋体" w:hAnsi="宋体" w:cs="宋体"/>
          <w:color w:val="auto"/>
          <w:sz w:val="28"/>
          <w:szCs w:val="28"/>
          <w:highlight w:val="none"/>
        </w:rPr>
        <w:t xml:space="preserve"> P0202A/B</w:t>
      </w:r>
      <w:r>
        <w:rPr>
          <w:rFonts w:hint="eastAsia" w:ascii="宋体" w:hAnsi="宋体" w:cs="宋体"/>
          <w:color w:val="auto"/>
          <w:sz w:val="28"/>
          <w:szCs w:val="28"/>
          <w:highlight w:val="none"/>
        </w:rPr>
        <w:t>；</w:t>
      </w:r>
      <w:r>
        <w:rPr>
          <w:rFonts w:ascii="宋体" w:hAnsi="宋体" w:cs="宋体"/>
          <w:color w:val="auto"/>
          <w:sz w:val="28"/>
          <w:szCs w:val="28"/>
          <w:highlight w:val="none"/>
        </w:rPr>
        <w:t>32%</w:t>
      </w:r>
      <w:r>
        <w:rPr>
          <w:rFonts w:hint="eastAsia" w:ascii="宋体" w:hAnsi="宋体" w:cs="宋体"/>
          <w:color w:val="auto"/>
          <w:sz w:val="28"/>
          <w:szCs w:val="28"/>
          <w:highlight w:val="none"/>
        </w:rPr>
        <w:t>液碱和水通过流量调节，在线配比为</w:t>
      </w:r>
      <w:r>
        <w:rPr>
          <w:rFonts w:ascii="宋体" w:hAnsi="宋体" w:cs="宋体"/>
          <w:color w:val="auto"/>
          <w:sz w:val="28"/>
          <w:szCs w:val="28"/>
          <w:highlight w:val="none"/>
        </w:rPr>
        <w:t>1</w:t>
      </w:r>
      <w:r>
        <w:rPr>
          <w:rFonts w:hint="eastAsia" w:ascii="宋体" w:hAnsi="宋体" w:cs="宋体"/>
          <w:color w:val="auto"/>
          <w:sz w:val="28"/>
          <w:szCs w:val="28"/>
          <w:highlight w:val="none"/>
          <w:lang w:val="en-US" w:eastAsia="zh-CN"/>
        </w:rPr>
        <w:t>3</w:t>
      </w:r>
      <w:r>
        <w:rPr>
          <w:rFonts w:ascii="宋体" w:hAnsi="宋体" w:cs="宋体"/>
          <w:color w:val="auto"/>
          <w:sz w:val="28"/>
          <w:szCs w:val="28"/>
          <w:highlight w:val="none"/>
        </w:rPr>
        <w:t>%</w:t>
      </w:r>
      <w:r>
        <w:rPr>
          <w:rFonts w:hint="eastAsia" w:ascii="宋体" w:hAnsi="宋体" w:cs="宋体"/>
          <w:color w:val="auto"/>
          <w:sz w:val="28"/>
          <w:szCs w:val="28"/>
          <w:highlight w:val="none"/>
        </w:rPr>
        <w:t>浓度的碱液进入配碱槽，经碱泵</w:t>
      </w:r>
      <w:r>
        <w:rPr>
          <w:rFonts w:ascii="宋体" w:hAnsi="宋体" w:cs="宋体"/>
          <w:color w:val="auto"/>
          <w:sz w:val="28"/>
          <w:szCs w:val="28"/>
          <w:highlight w:val="none"/>
        </w:rPr>
        <w:t xml:space="preserve"> P0202A/B </w:t>
      </w:r>
      <w:r>
        <w:rPr>
          <w:rFonts w:hint="eastAsia" w:ascii="宋体" w:hAnsi="宋体" w:cs="宋体"/>
          <w:color w:val="auto"/>
          <w:sz w:val="28"/>
          <w:szCs w:val="28"/>
          <w:highlight w:val="none"/>
        </w:rPr>
        <w:t>送至混合器</w:t>
      </w:r>
      <w:r>
        <w:rPr>
          <w:rFonts w:ascii="宋体" w:hAnsi="宋体" w:cs="宋体"/>
          <w:color w:val="auto"/>
          <w:sz w:val="28"/>
          <w:szCs w:val="28"/>
          <w:highlight w:val="none"/>
        </w:rPr>
        <w:t xml:space="preserve"> R0201</w:t>
      </w:r>
      <w:r>
        <w:rPr>
          <w:rFonts w:hint="eastAsia" w:ascii="宋体" w:hAnsi="宋体" w:cs="宋体"/>
          <w:color w:val="auto"/>
          <w:sz w:val="28"/>
          <w:szCs w:val="28"/>
          <w:highlight w:val="none"/>
        </w:rPr>
        <w:t>。</w:t>
      </w:r>
    </w:p>
    <w:p>
      <w:pPr>
        <w:spacing w:line="560" w:lineRule="exact"/>
        <w:ind w:firstLine="560" w:firstLineChars="200"/>
        <w:rPr>
          <w:rFonts w:ascii="宋体" w:cs="宋体"/>
          <w:color w:val="auto"/>
          <w:sz w:val="28"/>
          <w:szCs w:val="28"/>
          <w:highlight w:val="none"/>
        </w:rPr>
      </w:pPr>
      <w:r>
        <w:rPr>
          <w:rFonts w:ascii="宋体" w:hAnsi="宋体" w:cs="宋体"/>
          <w:color w:val="auto"/>
          <w:sz w:val="28"/>
          <w:szCs w:val="28"/>
          <w:highlight w:val="none"/>
        </w:rPr>
        <w:t>4.1.3</w:t>
      </w:r>
      <w:r>
        <w:rPr>
          <w:rFonts w:hint="eastAsia" w:ascii="宋体" w:hAnsi="宋体" w:cs="宋体"/>
          <w:color w:val="auto"/>
          <w:sz w:val="28"/>
          <w:szCs w:val="28"/>
          <w:highlight w:val="none"/>
        </w:rPr>
        <w:t>工艺流图</w:t>
      </w:r>
    </w:p>
    <w:p>
      <w:pPr>
        <w:spacing w:line="560" w:lineRule="exact"/>
        <w:ind w:firstLine="560" w:firstLineChars="200"/>
        <w:rPr>
          <w:rFonts w:ascii="宋体" w:cs="宋体"/>
          <w:color w:val="auto"/>
          <w:sz w:val="28"/>
          <w:szCs w:val="28"/>
          <w:highlight w:val="none"/>
        </w:rPr>
      </w:pPr>
      <w:bookmarkStart w:id="197" w:name="_Toc20491"/>
      <w:r>
        <w:rPr>
          <w:rFonts w:hint="eastAsia" w:ascii="宋体" w:hAnsi="宋体" w:cs="宋体"/>
          <w:color w:val="auto"/>
          <w:sz w:val="28"/>
          <w:szCs w:val="28"/>
          <w:highlight w:val="none"/>
        </w:rPr>
        <w:t>工艺流程图见附图</w:t>
      </w:r>
      <w:r>
        <w:rPr>
          <w:rFonts w:ascii="宋体" w:hAnsi="宋体" w:cs="宋体"/>
          <w:color w:val="auto"/>
          <w:sz w:val="28"/>
          <w:szCs w:val="28"/>
          <w:highlight w:val="none"/>
        </w:rPr>
        <w:t>3</w:t>
      </w:r>
      <w:r>
        <w:rPr>
          <w:rFonts w:hint="eastAsia" w:ascii="宋体" w:hAnsi="宋体" w:cs="宋体"/>
          <w:color w:val="auto"/>
          <w:sz w:val="28"/>
          <w:szCs w:val="28"/>
          <w:highlight w:val="none"/>
        </w:rPr>
        <w:t>。</w:t>
      </w:r>
    </w:p>
    <w:p>
      <w:pPr>
        <w:spacing w:line="560" w:lineRule="exact"/>
        <w:ind w:firstLine="560" w:firstLineChars="200"/>
        <w:rPr>
          <w:rFonts w:ascii="宋体" w:cs="宋体"/>
          <w:color w:val="auto"/>
          <w:sz w:val="28"/>
          <w:szCs w:val="28"/>
          <w:highlight w:val="none"/>
        </w:rPr>
      </w:pPr>
      <w:r>
        <w:rPr>
          <w:rFonts w:ascii="宋体" w:hAnsi="宋体" w:cs="宋体"/>
          <w:color w:val="auto"/>
          <w:sz w:val="28"/>
          <w:szCs w:val="28"/>
          <w:highlight w:val="none"/>
        </w:rPr>
        <w:t>4.1.4</w:t>
      </w:r>
      <w:r>
        <w:rPr>
          <w:rFonts w:hint="eastAsia" w:ascii="宋体" w:hAnsi="宋体" w:cs="宋体"/>
          <w:color w:val="auto"/>
          <w:sz w:val="28"/>
          <w:szCs w:val="28"/>
          <w:highlight w:val="none"/>
        </w:rPr>
        <w:t>能效水平</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1</w:t>
      </w:r>
      <w:r>
        <w:rPr>
          <w:rFonts w:hint="eastAsia" w:ascii="宋体" w:hAnsi="宋体" w:cs="宋体"/>
          <w:color w:val="auto"/>
          <w:sz w:val="28"/>
          <w:szCs w:val="28"/>
          <w:highlight w:val="none"/>
        </w:rPr>
        <w:t>）原料烧碱</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本项目使用的氢氧化钠溶液为公司采用离子膜法自产的烧碱（质量分数</w:t>
      </w:r>
      <w:r>
        <w:rPr>
          <w:rFonts w:hint="eastAsia" w:ascii="宋体" w:hAnsi="宋体" w:cs="宋体"/>
          <w:color w:val="auto"/>
          <w:sz w:val="28"/>
          <w:szCs w:val="28"/>
          <w:highlight w:val="none"/>
          <w:lang w:val="en-US" w:eastAsia="zh-CN"/>
        </w:rPr>
        <w:t>32</w:t>
      </w:r>
      <w:r>
        <w:rPr>
          <w:rFonts w:ascii="宋体" w:hAnsi="宋体" w:cs="宋体"/>
          <w:color w:val="auto"/>
          <w:sz w:val="28"/>
          <w:szCs w:val="28"/>
          <w:highlight w:val="none"/>
        </w:rPr>
        <w:t>%</w:t>
      </w:r>
      <w:r>
        <w:rPr>
          <w:rFonts w:hint="eastAsia" w:ascii="宋体" w:hAnsi="宋体" w:cs="宋体"/>
          <w:color w:val="auto"/>
          <w:sz w:val="28"/>
          <w:szCs w:val="28"/>
          <w:highlight w:val="none"/>
        </w:rPr>
        <w:t>），依据《烧碱单位产品能源消耗限额》（</w:t>
      </w:r>
      <w:r>
        <w:rPr>
          <w:rFonts w:ascii="宋体" w:hAnsi="宋体" w:cs="宋体"/>
          <w:color w:val="auto"/>
          <w:sz w:val="28"/>
          <w:szCs w:val="28"/>
          <w:highlight w:val="none"/>
        </w:rPr>
        <w:t>GB21257-2014</w:t>
      </w:r>
      <w:r>
        <w:rPr>
          <w:rFonts w:hint="eastAsia" w:ascii="宋体" w:hAnsi="宋体" w:cs="宋体"/>
          <w:color w:val="auto"/>
          <w:sz w:val="28"/>
          <w:szCs w:val="28"/>
          <w:highlight w:val="none"/>
        </w:rPr>
        <w:t>）该规格烧碱单位产品能耗限定值≤</w:t>
      </w:r>
      <w:r>
        <w:rPr>
          <w:rFonts w:ascii="宋体" w:hAnsi="宋体" w:cs="宋体"/>
          <w:color w:val="auto"/>
          <w:sz w:val="28"/>
          <w:szCs w:val="28"/>
          <w:highlight w:val="none"/>
        </w:rPr>
        <w:t>375kgce/t</w:t>
      </w:r>
      <w:r>
        <w:rPr>
          <w:rFonts w:hint="eastAsia" w:ascii="宋体" w:hAnsi="宋体" w:cs="宋体"/>
          <w:color w:val="auto"/>
          <w:sz w:val="28"/>
          <w:szCs w:val="28"/>
          <w:highlight w:val="none"/>
        </w:rPr>
        <w:t>，单位产品能耗先进值≤</w:t>
      </w:r>
      <w:r>
        <w:rPr>
          <w:rFonts w:ascii="宋体" w:hAnsi="宋体" w:cs="宋体"/>
          <w:color w:val="auto"/>
          <w:sz w:val="28"/>
          <w:szCs w:val="28"/>
          <w:highlight w:val="none"/>
        </w:rPr>
        <w:t>315kgce/t</w:t>
      </w:r>
      <w:r>
        <w:rPr>
          <w:rFonts w:hint="eastAsia" w:ascii="宋体" w:hAnsi="宋体" w:cs="宋体"/>
          <w:color w:val="auto"/>
          <w:sz w:val="28"/>
          <w:szCs w:val="28"/>
          <w:highlight w:val="none"/>
        </w:rPr>
        <w:t>。</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公司烧碱单位产品能效</w:t>
      </w:r>
      <w:r>
        <w:rPr>
          <w:rFonts w:ascii="宋体" w:hAnsi="宋体" w:cs="宋体"/>
          <w:color w:val="auto"/>
          <w:sz w:val="28"/>
          <w:szCs w:val="28"/>
          <w:highlight w:val="none"/>
        </w:rPr>
        <w:t>321kgce/t</w:t>
      </w:r>
      <w:r>
        <w:rPr>
          <w:rFonts w:hint="eastAsia" w:ascii="宋体" w:hAnsi="宋体" w:cs="宋体"/>
          <w:color w:val="auto"/>
          <w:sz w:val="28"/>
          <w:szCs w:val="28"/>
          <w:highlight w:val="none"/>
        </w:rPr>
        <w:t>，处于先进值与基准值之间。</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2</w:t>
      </w:r>
      <w:r>
        <w:rPr>
          <w:rFonts w:hint="eastAsia" w:ascii="宋体" w:hAnsi="宋体" w:cs="宋体"/>
          <w:color w:val="auto"/>
          <w:sz w:val="28"/>
          <w:szCs w:val="28"/>
          <w:highlight w:val="none"/>
        </w:rPr>
        <w:t>）次氯酸钠生产装置</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一般次氯酸钠生产装置吸收塔无分布器，生产时常采用双塔工艺，配套两台循环泵运行。本项目采用先进的单塔工艺，在塔顶部增加分布器保证碱和氯气充分接触吸收；同时设置碱液高位槽，在</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循环泵跳停时联锁关闭氯气进料阀，打开高位槽出口阀，保证塔内氯气有碱液吸收，不外溢污染环境。新工艺采用单塔生产，能耗仅为老工艺装置的一半。</w:t>
      </w:r>
    </w:p>
    <w:p>
      <w:pPr>
        <w:spacing w:line="560" w:lineRule="exact"/>
        <w:ind w:firstLine="560" w:firstLineChars="200"/>
        <w:rPr>
          <w:rFonts w:ascii="宋体" w:cs="宋体"/>
          <w:color w:val="auto"/>
          <w:sz w:val="28"/>
          <w:szCs w:val="28"/>
          <w:highlight w:val="none"/>
        </w:rPr>
      </w:pPr>
      <w:r>
        <w:rPr>
          <w:rFonts w:ascii="宋体" w:hAnsi="宋体" w:cs="宋体"/>
          <w:color w:val="auto"/>
          <w:sz w:val="28"/>
          <w:szCs w:val="28"/>
          <w:highlight w:val="none"/>
        </w:rPr>
        <w:t xml:space="preserve">4.1.5 </w:t>
      </w:r>
      <w:r>
        <w:rPr>
          <w:rFonts w:hint="eastAsia" w:ascii="宋体" w:hAnsi="宋体" w:cs="宋体"/>
          <w:color w:val="auto"/>
          <w:sz w:val="28"/>
          <w:szCs w:val="28"/>
          <w:highlight w:val="none"/>
        </w:rPr>
        <w:t>物料平衡</w:t>
      </w:r>
    </w:p>
    <w:p>
      <w:pPr>
        <w:spacing w:line="560" w:lineRule="exact"/>
        <w:ind w:firstLine="560" w:firstLineChars="200"/>
        <w:rPr>
          <w:rFonts w:hint="eastAsia" w:ascii="宋体" w:hAnsi="宋体" w:cs="宋体"/>
          <w:color w:val="auto"/>
          <w:sz w:val="28"/>
          <w:szCs w:val="28"/>
          <w:highlight w:val="none"/>
        </w:rPr>
      </w:pPr>
      <w:r>
        <w:rPr>
          <w:rFonts w:hint="eastAsia" w:ascii="宋体" w:hAnsi="宋体" w:cs="宋体"/>
          <w:color w:val="auto"/>
          <w:sz w:val="28"/>
          <w:szCs w:val="28"/>
          <w:highlight w:val="none"/>
        </w:rPr>
        <w:t>本项目物料平衡见下表。</w:t>
      </w:r>
    </w:p>
    <w:tbl>
      <w:tblPr>
        <w:tblStyle w:val="16"/>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90"/>
        <w:gridCol w:w="1420"/>
        <w:gridCol w:w="3337"/>
        <w:gridCol w:w="11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353" w:type="pct"/>
            <w:gridSpan w:val="2"/>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入方</w:t>
            </w:r>
          </w:p>
        </w:tc>
        <w:tc>
          <w:tcPr>
            <w:tcW w:w="2646" w:type="pct"/>
            <w:gridSpan w:val="2"/>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出方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20"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物料名称</w:t>
            </w:r>
          </w:p>
        </w:tc>
        <w:tc>
          <w:tcPr>
            <w:tcW w:w="832"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数量</w:t>
            </w:r>
            <w:r>
              <w:rPr>
                <w:rFonts w:ascii="宋体" w:hAnsi="宋体" w:cs="宋体"/>
                <w:color w:val="auto"/>
                <w:kern w:val="0"/>
                <w:szCs w:val="21"/>
                <w:highlight w:val="none"/>
              </w:rPr>
              <w:t>/t</w:t>
            </w:r>
          </w:p>
        </w:tc>
        <w:tc>
          <w:tcPr>
            <w:tcW w:w="195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物料名称</w:t>
            </w:r>
          </w:p>
        </w:tc>
        <w:tc>
          <w:tcPr>
            <w:tcW w:w="68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数量</w:t>
            </w:r>
            <w:r>
              <w:rPr>
                <w:rFonts w:ascii="宋体" w:hAnsi="宋体" w:cs="宋体"/>
                <w:color w:val="auto"/>
                <w:kern w:val="0"/>
                <w:szCs w:val="21"/>
                <w:highlight w:val="none"/>
              </w:rPr>
              <w:t>/t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20"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氯气</w:t>
            </w:r>
          </w:p>
        </w:tc>
        <w:tc>
          <w:tcPr>
            <w:tcW w:w="832"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8387.009</w:t>
            </w:r>
          </w:p>
        </w:tc>
        <w:tc>
          <w:tcPr>
            <w:tcW w:w="195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次氯酸钠（折百）</w:t>
            </w:r>
          </w:p>
        </w:tc>
        <w:tc>
          <w:tcPr>
            <w:tcW w:w="688"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8800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20"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氢氧化钠（折百）</w:t>
            </w:r>
          </w:p>
        </w:tc>
        <w:tc>
          <w:tcPr>
            <w:tcW w:w="832"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9450</w:t>
            </w:r>
          </w:p>
        </w:tc>
        <w:tc>
          <w:tcPr>
            <w:tcW w:w="195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氯化钠（折百）</w:t>
            </w:r>
          </w:p>
        </w:tc>
        <w:tc>
          <w:tcPr>
            <w:tcW w:w="688"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6910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20"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水</w:t>
            </w:r>
          </w:p>
        </w:tc>
        <w:tc>
          <w:tcPr>
            <w:tcW w:w="832"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62163</w:t>
            </w:r>
          </w:p>
        </w:tc>
        <w:tc>
          <w:tcPr>
            <w:tcW w:w="195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水</w:t>
            </w:r>
          </w:p>
        </w:tc>
        <w:tc>
          <w:tcPr>
            <w:tcW w:w="688"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64290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20" w:type="pct"/>
            <w:vAlign w:val="center"/>
          </w:tcPr>
          <w:p>
            <w:pPr>
              <w:widowControl/>
              <w:jc w:val="center"/>
              <w:textAlignment w:val="center"/>
              <w:rPr>
                <w:rFonts w:ascii="宋体" w:cs="宋体"/>
                <w:color w:val="auto"/>
                <w:kern w:val="0"/>
                <w:szCs w:val="21"/>
                <w:highlight w:val="none"/>
              </w:rPr>
            </w:pPr>
          </w:p>
        </w:tc>
        <w:tc>
          <w:tcPr>
            <w:tcW w:w="832" w:type="pct"/>
            <w:vAlign w:val="center"/>
          </w:tcPr>
          <w:p>
            <w:pPr>
              <w:widowControl/>
              <w:jc w:val="center"/>
              <w:textAlignment w:val="center"/>
              <w:rPr>
                <w:rFonts w:ascii="宋体" w:cs="宋体"/>
                <w:color w:val="auto"/>
                <w:kern w:val="0"/>
                <w:szCs w:val="21"/>
                <w:highlight w:val="none"/>
              </w:rPr>
            </w:pPr>
          </w:p>
        </w:tc>
        <w:tc>
          <w:tcPr>
            <w:tcW w:w="195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废气</w:t>
            </w:r>
          </w:p>
        </w:tc>
        <w:tc>
          <w:tcPr>
            <w:tcW w:w="688"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0.009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20" w:type="pct"/>
            <w:vAlign w:val="center"/>
          </w:tcPr>
          <w:p>
            <w:pPr>
              <w:widowControl/>
              <w:jc w:val="center"/>
              <w:textAlignment w:val="center"/>
              <w:rPr>
                <w:rFonts w:ascii="宋体" w:cs="宋体"/>
                <w:color w:val="auto"/>
                <w:kern w:val="0"/>
                <w:szCs w:val="21"/>
                <w:highlight w:val="none"/>
              </w:rPr>
            </w:pPr>
          </w:p>
        </w:tc>
        <w:tc>
          <w:tcPr>
            <w:tcW w:w="832" w:type="pct"/>
            <w:vAlign w:val="center"/>
          </w:tcPr>
          <w:p>
            <w:pPr>
              <w:widowControl/>
              <w:jc w:val="center"/>
              <w:textAlignment w:val="center"/>
              <w:rPr>
                <w:rFonts w:ascii="宋体" w:cs="宋体"/>
                <w:color w:val="auto"/>
                <w:kern w:val="0"/>
                <w:szCs w:val="21"/>
                <w:highlight w:val="none"/>
              </w:rPr>
            </w:pPr>
          </w:p>
        </w:tc>
        <w:tc>
          <w:tcPr>
            <w:tcW w:w="195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废水</w:t>
            </w:r>
          </w:p>
        </w:tc>
        <w:tc>
          <w:tcPr>
            <w:tcW w:w="688" w:type="pct"/>
            <w:vAlign w:val="center"/>
          </w:tcPr>
          <w:p>
            <w:pPr>
              <w:widowControl/>
              <w:jc w:val="center"/>
              <w:textAlignment w:val="center"/>
              <w:rPr>
                <w:rFonts w:ascii="宋体" w:cs="宋体"/>
                <w:color w:val="auto"/>
                <w:kern w:val="0"/>
                <w:szCs w:val="21"/>
                <w:highlight w:val="none"/>
              </w:rPr>
            </w:pPr>
            <w:r>
              <w:rPr>
                <w:rFonts w:ascii="宋体" w:cs="宋体"/>
                <w:color w:val="auto"/>
                <w:kern w:val="0"/>
                <w:szCs w:val="21"/>
                <w:highlight w:val="none"/>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20"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合计</w:t>
            </w:r>
          </w:p>
        </w:tc>
        <w:tc>
          <w:tcPr>
            <w:tcW w:w="832"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80000.009</w:t>
            </w:r>
          </w:p>
        </w:tc>
        <w:tc>
          <w:tcPr>
            <w:tcW w:w="195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合计</w:t>
            </w:r>
          </w:p>
        </w:tc>
        <w:tc>
          <w:tcPr>
            <w:tcW w:w="688"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80000.009</w:t>
            </w:r>
          </w:p>
        </w:tc>
      </w:tr>
    </w:tbl>
    <w:p>
      <w:pPr>
        <w:rPr>
          <w:color w:val="auto"/>
          <w:highlight w:val="none"/>
        </w:rPr>
      </w:pPr>
      <w:bookmarkStart w:id="198" w:name="_Toc31335"/>
      <w:r>
        <w:rPr>
          <w:rFonts w:hint="eastAsia"/>
          <w:color w:val="auto"/>
          <w:highlight w:val="none"/>
        </w:rPr>
        <w:t>注：（</w:t>
      </w:r>
      <w:r>
        <w:rPr>
          <w:color w:val="auto"/>
          <w:highlight w:val="none"/>
        </w:rPr>
        <w:t>1</w:t>
      </w:r>
      <w:r>
        <w:rPr>
          <w:rFonts w:hint="eastAsia"/>
          <w:color w:val="auto"/>
          <w:highlight w:val="none"/>
        </w:rPr>
        <w:t>）</w:t>
      </w:r>
      <w:r>
        <w:rPr>
          <w:rFonts w:hint="eastAsia"/>
          <w:color w:val="auto"/>
          <w:highlight w:val="none"/>
          <w:lang w:val="en-US" w:eastAsia="zh-CN"/>
        </w:rPr>
        <w:t>次氯酸钠</w:t>
      </w:r>
      <w:r>
        <w:rPr>
          <w:rFonts w:hint="eastAsia"/>
          <w:color w:val="auto"/>
          <w:highlight w:val="none"/>
        </w:rPr>
        <w:t>浓度按照</w:t>
      </w:r>
      <w:r>
        <w:rPr>
          <w:color w:val="auto"/>
          <w:highlight w:val="none"/>
        </w:rPr>
        <w:t>11%</w:t>
      </w:r>
      <w:r>
        <w:rPr>
          <w:rFonts w:hint="eastAsia"/>
          <w:color w:val="auto"/>
          <w:highlight w:val="none"/>
        </w:rPr>
        <w:t>计算；（</w:t>
      </w:r>
      <w:r>
        <w:rPr>
          <w:color w:val="auto"/>
          <w:highlight w:val="none"/>
        </w:rPr>
        <w:t>2</w:t>
      </w:r>
      <w:r>
        <w:rPr>
          <w:rFonts w:hint="eastAsia"/>
          <w:color w:val="auto"/>
          <w:highlight w:val="none"/>
        </w:rPr>
        <w:t>）水以</w:t>
      </w:r>
      <w:r>
        <w:rPr>
          <w:color w:val="auto"/>
          <w:highlight w:val="none"/>
        </w:rPr>
        <w:t>13%</w:t>
      </w:r>
      <w:r>
        <w:rPr>
          <w:rFonts w:hint="eastAsia"/>
          <w:color w:val="auto"/>
          <w:highlight w:val="none"/>
        </w:rPr>
        <w:t>氢氧化钠配比添加。</w:t>
      </w:r>
    </w:p>
    <w:p>
      <w:pPr>
        <w:spacing w:line="560" w:lineRule="exact"/>
        <w:ind w:firstLine="560" w:firstLineChars="200"/>
        <w:outlineLvl w:val="1"/>
        <w:rPr>
          <w:rFonts w:ascii="宋体" w:cs="宋体"/>
          <w:color w:val="auto"/>
          <w:sz w:val="28"/>
          <w:szCs w:val="28"/>
          <w:highlight w:val="none"/>
        </w:rPr>
      </w:pPr>
      <w:r>
        <w:rPr>
          <w:rFonts w:ascii="宋体" w:hAnsi="宋体" w:cs="宋体"/>
          <w:color w:val="auto"/>
          <w:sz w:val="28"/>
          <w:szCs w:val="28"/>
          <w:highlight w:val="none"/>
        </w:rPr>
        <w:t>4.2</w:t>
      </w:r>
      <w:r>
        <w:rPr>
          <w:rFonts w:hint="eastAsia" w:ascii="宋体" w:hAnsi="宋体" w:cs="宋体"/>
          <w:color w:val="auto"/>
          <w:sz w:val="28"/>
          <w:szCs w:val="28"/>
          <w:highlight w:val="none"/>
        </w:rPr>
        <w:t>公用工程消耗</w:t>
      </w:r>
      <w:bookmarkEnd w:id="190"/>
      <w:bookmarkEnd w:id="191"/>
      <w:bookmarkEnd w:id="192"/>
      <w:bookmarkEnd w:id="193"/>
      <w:bookmarkEnd w:id="194"/>
      <w:bookmarkEnd w:id="195"/>
      <w:bookmarkEnd w:id="197"/>
      <w:bookmarkEnd w:id="198"/>
    </w:p>
    <w:p>
      <w:pPr>
        <w:pStyle w:val="32"/>
        <w:spacing w:line="560" w:lineRule="exact"/>
        <w:ind w:firstLine="31680"/>
        <w:jc w:val="left"/>
        <w:outlineLvl w:val="1"/>
        <w:rPr>
          <w:rFonts w:ascii="宋体" w:cs="宋体"/>
          <w:color w:val="auto"/>
          <w:sz w:val="28"/>
          <w:szCs w:val="28"/>
          <w:highlight w:val="none"/>
        </w:rPr>
      </w:pPr>
      <w:bookmarkStart w:id="199" w:name="_Toc3147"/>
      <w:bookmarkStart w:id="200" w:name="_Toc31107"/>
      <w:bookmarkStart w:id="201" w:name="_Toc30134"/>
      <w:bookmarkStart w:id="202" w:name="_Toc27138"/>
      <w:bookmarkStart w:id="203" w:name="_Toc11446"/>
      <w:r>
        <w:rPr>
          <w:rFonts w:hint="eastAsia" w:ascii="宋体" w:hAnsi="宋体" w:cs="宋体"/>
          <w:color w:val="auto"/>
          <w:sz w:val="28"/>
          <w:szCs w:val="28"/>
          <w:highlight w:val="none"/>
        </w:rPr>
        <w:t>本项目主要消耗为动力电。</w:t>
      </w:r>
      <w:bookmarkEnd w:id="199"/>
      <w:bookmarkEnd w:id="200"/>
      <w:bookmarkEnd w:id="201"/>
      <w:bookmarkEnd w:id="202"/>
      <w:bookmarkEnd w:id="203"/>
    </w:p>
    <w:tbl>
      <w:tblPr>
        <w:tblStyle w:val="16"/>
        <w:tblW w:w="4998" w:type="pct"/>
        <w:tblInd w:w="0" w:type="dxa"/>
        <w:tblLayout w:type="autofit"/>
        <w:tblCellMar>
          <w:top w:w="0" w:type="dxa"/>
          <w:left w:w="0" w:type="dxa"/>
          <w:bottom w:w="0" w:type="dxa"/>
          <w:right w:w="0" w:type="dxa"/>
        </w:tblCellMar>
      </w:tblPr>
      <w:tblGrid>
        <w:gridCol w:w="1096"/>
        <w:gridCol w:w="2688"/>
        <w:gridCol w:w="1676"/>
        <w:gridCol w:w="2873"/>
      </w:tblGrid>
      <w:tr>
        <w:tblPrEx>
          <w:tblCellMar>
            <w:top w:w="0" w:type="dxa"/>
            <w:left w:w="0" w:type="dxa"/>
            <w:bottom w:w="0" w:type="dxa"/>
            <w:right w:w="0" w:type="dxa"/>
          </w:tblCellMar>
        </w:tblPrEx>
        <w:trPr>
          <w:trHeight w:val="567" w:hRule="atLeast"/>
        </w:trPr>
        <w:tc>
          <w:tcPr>
            <w:tcW w:w="657"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序号</w:t>
            </w:r>
          </w:p>
        </w:tc>
        <w:tc>
          <w:tcPr>
            <w:tcW w:w="1612"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名称</w:t>
            </w:r>
          </w:p>
        </w:tc>
        <w:tc>
          <w:tcPr>
            <w:tcW w:w="1005"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单位</w:t>
            </w:r>
          </w:p>
        </w:tc>
        <w:tc>
          <w:tcPr>
            <w:tcW w:w="1723"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消耗量</w:t>
            </w:r>
            <w:r>
              <w:rPr>
                <w:rFonts w:ascii="宋体" w:hAnsi="宋体" w:cs="宋体"/>
                <w:color w:val="auto"/>
                <w:kern w:val="0"/>
                <w:szCs w:val="21"/>
                <w:highlight w:val="none"/>
              </w:rPr>
              <w:t>/a</w:t>
            </w:r>
          </w:p>
        </w:tc>
      </w:tr>
      <w:tr>
        <w:tblPrEx>
          <w:tblCellMar>
            <w:top w:w="0" w:type="dxa"/>
            <w:left w:w="0" w:type="dxa"/>
            <w:bottom w:w="0" w:type="dxa"/>
            <w:right w:w="0" w:type="dxa"/>
          </w:tblCellMar>
        </w:tblPrEx>
        <w:trPr>
          <w:trHeight w:val="567" w:hRule="atLeast"/>
        </w:trPr>
        <w:tc>
          <w:tcPr>
            <w:tcW w:w="657"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w:t>
            </w:r>
          </w:p>
        </w:tc>
        <w:tc>
          <w:tcPr>
            <w:tcW w:w="1612"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动力电</w:t>
            </w:r>
          </w:p>
        </w:tc>
        <w:tc>
          <w:tcPr>
            <w:tcW w:w="1005" w:type="pc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kWh</w:t>
            </w:r>
          </w:p>
        </w:tc>
        <w:tc>
          <w:tcPr>
            <w:tcW w:w="1723"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400000</w:t>
            </w:r>
          </w:p>
        </w:tc>
      </w:tr>
    </w:tbl>
    <w:p>
      <w:pPr>
        <w:spacing w:line="560" w:lineRule="exact"/>
        <w:ind w:firstLine="560" w:firstLineChars="200"/>
        <w:outlineLvl w:val="1"/>
        <w:rPr>
          <w:rFonts w:ascii="宋体" w:cs="宋体"/>
          <w:color w:val="auto"/>
          <w:sz w:val="28"/>
          <w:szCs w:val="28"/>
          <w:highlight w:val="none"/>
        </w:rPr>
      </w:pPr>
      <w:bookmarkStart w:id="204" w:name="_Toc3179"/>
      <w:bookmarkStart w:id="205" w:name="_Toc503433229"/>
      <w:bookmarkStart w:id="206" w:name="_Toc26828"/>
      <w:bookmarkStart w:id="207" w:name="_Toc10252"/>
      <w:bookmarkStart w:id="208" w:name="_Toc24819_WPSOffice_Level2"/>
      <w:bookmarkStart w:id="209" w:name="_Toc15204"/>
      <w:bookmarkStart w:id="210" w:name="_Toc31370"/>
      <w:bookmarkStart w:id="211" w:name="_Toc10589_WPSOffice_Level2"/>
      <w:bookmarkStart w:id="212" w:name="_Toc25359_WPSOffice_Level2"/>
      <w:bookmarkStart w:id="213" w:name="_Toc31895"/>
      <w:bookmarkStart w:id="214" w:name="_Toc7818_WPSOffice_Level2"/>
      <w:r>
        <w:rPr>
          <w:rFonts w:ascii="宋体" w:hAnsi="宋体" w:cs="宋体"/>
          <w:color w:val="auto"/>
          <w:sz w:val="28"/>
          <w:szCs w:val="28"/>
          <w:highlight w:val="none"/>
        </w:rPr>
        <w:t>4.3</w:t>
      </w:r>
      <w:r>
        <w:rPr>
          <w:rFonts w:hint="eastAsia" w:ascii="宋体" w:hAnsi="宋体" w:cs="宋体"/>
          <w:color w:val="auto"/>
          <w:sz w:val="28"/>
          <w:szCs w:val="28"/>
          <w:highlight w:val="none"/>
        </w:rPr>
        <w:t>主要设备的选择</w:t>
      </w:r>
      <w:bookmarkEnd w:id="204"/>
      <w:bookmarkEnd w:id="205"/>
      <w:bookmarkEnd w:id="206"/>
      <w:bookmarkEnd w:id="207"/>
    </w:p>
    <w:p>
      <w:pPr>
        <w:spacing w:line="560" w:lineRule="exact"/>
        <w:ind w:firstLine="560" w:firstLineChars="200"/>
        <w:rPr>
          <w:rFonts w:ascii="宋体" w:cs="宋体"/>
          <w:color w:val="auto"/>
          <w:sz w:val="28"/>
          <w:szCs w:val="28"/>
          <w:highlight w:val="none"/>
        </w:rPr>
      </w:pPr>
      <w:r>
        <w:rPr>
          <w:rFonts w:ascii="宋体" w:hAnsi="宋体" w:cs="宋体"/>
          <w:color w:val="auto"/>
          <w:sz w:val="28"/>
          <w:szCs w:val="28"/>
          <w:highlight w:val="none"/>
        </w:rPr>
        <w:t>4.3.1</w:t>
      </w:r>
      <w:r>
        <w:rPr>
          <w:rFonts w:hint="eastAsia" w:ascii="宋体" w:hAnsi="宋体" w:cs="宋体"/>
          <w:color w:val="auto"/>
          <w:sz w:val="28"/>
          <w:szCs w:val="28"/>
          <w:highlight w:val="none"/>
        </w:rPr>
        <w:t>概述</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设备设计原则遵循国家现行法律法规、标准规范，在满足工艺要求的前提下，为加快工程进度，降低造价，节省投资</w:t>
      </w:r>
      <w:r>
        <w:rPr>
          <w:rFonts w:ascii="宋体" w:hAnsi="宋体" w:cs="宋体"/>
          <w:color w:val="auto"/>
          <w:sz w:val="28"/>
          <w:szCs w:val="28"/>
          <w:highlight w:val="none"/>
        </w:rPr>
        <w:t>,</w:t>
      </w:r>
      <w:r>
        <w:rPr>
          <w:rFonts w:hint="eastAsia" w:ascii="宋体" w:hAnsi="宋体" w:cs="宋体"/>
          <w:color w:val="auto"/>
          <w:sz w:val="28"/>
          <w:szCs w:val="28"/>
          <w:highlight w:val="none"/>
        </w:rPr>
        <w:t>设备设计尽量采用通用型和系列化的结构、尺寸以及配件。例如：容器筒体和封头，包括：球形、椭圆形、锥形等的直径；法兰及紧固件；液面计；除雾器；人手孔；支座；吊耳；梯子平台等配件均尽量按标准化、商品化产品选择和使用。</w:t>
      </w:r>
    </w:p>
    <w:p>
      <w:pPr>
        <w:spacing w:line="560" w:lineRule="exact"/>
        <w:ind w:firstLine="560" w:firstLineChars="200"/>
        <w:outlineLvl w:val="1"/>
        <w:rPr>
          <w:rFonts w:ascii="宋体" w:cs="宋体"/>
          <w:color w:val="auto"/>
          <w:sz w:val="28"/>
          <w:szCs w:val="28"/>
          <w:highlight w:val="none"/>
        </w:rPr>
      </w:pPr>
      <w:r>
        <w:rPr>
          <w:rFonts w:hint="eastAsia" w:ascii="宋体" w:hAnsi="宋体" w:cs="宋体"/>
          <w:color w:val="auto"/>
          <w:sz w:val="28"/>
          <w:szCs w:val="28"/>
          <w:highlight w:val="none"/>
        </w:rPr>
        <w:t>本项目塔式设备选用钢衬四氟塔</w:t>
      </w:r>
      <w:r>
        <w:rPr>
          <w:rFonts w:ascii="宋体" w:hAnsi="宋体" w:cs="宋体"/>
          <w:color w:val="auto"/>
          <w:sz w:val="28"/>
          <w:szCs w:val="28"/>
          <w:highlight w:val="none"/>
        </w:rPr>
        <w:t>+PVDF</w:t>
      </w:r>
      <w:r>
        <w:rPr>
          <w:rFonts w:hint="eastAsia" w:ascii="宋体" w:hAnsi="宋体" w:cs="宋体"/>
          <w:color w:val="auto"/>
          <w:sz w:val="28"/>
          <w:szCs w:val="28"/>
          <w:highlight w:val="none"/>
        </w:rPr>
        <w:t>填料，无腐蚀，零检修；终点判断选用红外激光在线检测，结果准确可靠；多重联锁逻辑保护设备安全和产品质量，工艺全自动生产，无需人值守。</w:t>
      </w:r>
    </w:p>
    <w:p>
      <w:pPr>
        <w:spacing w:line="560" w:lineRule="exact"/>
        <w:ind w:firstLine="560" w:firstLineChars="200"/>
        <w:rPr>
          <w:rFonts w:ascii="宋体" w:cs="宋体"/>
          <w:color w:val="auto"/>
          <w:sz w:val="28"/>
          <w:szCs w:val="28"/>
          <w:highlight w:val="none"/>
        </w:rPr>
      </w:pPr>
      <w:r>
        <w:rPr>
          <w:rFonts w:ascii="宋体" w:hAnsi="宋体" w:cs="宋体"/>
          <w:color w:val="auto"/>
          <w:sz w:val="28"/>
          <w:szCs w:val="28"/>
          <w:highlight w:val="none"/>
        </w:rPr>
        <w:t xml:space="preserve">4.3.2 </w:t>
      </w:r>
      <w:r>
        <w:rPr>
          <w:rFonts w:hint="eastAsia" w:ascii="宋体" w:hAnsi="宋体" w:cs="宋体"/>
          <w:color w:val="auto"/>
          <w:sz w:val="28"/>
          <w:szCs w:val="28"/>
          <w:highlight w:val="none"/>
        </w:rPr>
        <w:t>采用的标准规范</w:t>
      </w:r>
    </w:p>
    <w:p>
      <w:pPr>
        <w:spacing w:line="560" w:lineRule="exact"/>
        <w:ind w:firstLine="560" w:firstLineChars="200"/>
        <w:rPr>
          <w:rFonts w:ascii="宋体" w:cs="宋体"/>
          <w:color w:val="auto"/>
          <w:sz w:val="28"/>
          <w:szCs w:val="28"/>
          <w:highlight w:val="none"/>
        </w:rPr>
      </w:pPr>
      <w:r>
        <w:rPr>
          <w:rFonts w:hint="eastAsia" w:ascii="宋体" w:hAnsi="宋体" w:cs="宋体"/>
          <w:color w:val="auto"/>
          <w:sz w:val="28"/>
          <w:szCs w:val="28"/>
          <w:highlight w:val="none"/>
        </w:rPr>
        <w:t>工程中采用的技术和设备，应是先进、成熟、安全、可靠的。设备的设计和制造均采用现行国际标准和规范。</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《固定式压力容器安全技术监察规程》</w:t>
      </w:r>
      <w:r>
        <w:rPr>
          <w:rFonts w:ascii="宋体" w:hAnsi="宋体" w:cs="宋体"/>
          <w:color w:val="auto"/>
          <w:sz w:val="28"/>
          <w:szCs w:val="28"/>
          <w:highlight w:val="none"/>
        </w:rPr>
        <w:t>TSG 21-2016</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《压力容器</w:t>
      </w:r>
      <w:r>
        <w:rPr>
          <w:rFonts w:ascii="宋体" w:hAnsi="宋体" w:cs="宋体"/>
          <w:color w:val="auto"/>
          <w:sz w:val="28"/>
          <w:szCs w:val="28"/>
          <w:highlight w:val="none"/>
        </w:rPr>
        <w:t>[</w:t>
      </w:r>
      <w:r>
        <w:rPr>
          <w:rFonts w:hint="eastAsia" w:ascii="宋体" w:hAnsi="宋体" w:cs="宋体"/>
          <w:color w:val="auto"/>
          <w:sz w:val="28"/>
          <w:szCs w:val="28"/>
          <w:highlight w:val="none"/>
        </w:rPr>
        <w:t>合订本</w:t>
      </w:r>
      <w:r>
        <w:rPr>
          <w:rFonts w:ascii="宋体" w:hAnsi="宋体" w:cs="宋体"/>
          <w:color w:val="auto"/>
          <w:sz w:val="28"/>
          <w:szCs w:val="28"/>
          <w:highlight w:val="none"/>
        </w:rPr>
        <w:t>]</w:t>
      </w:r>
      <w:r>
        <w:rPr>
          <w:rFonts w:hint="eastAsia" w:ascii="宋体" w:hAnsi="宋体" w:cs="宋体"/>
          <w:color w:val="auto"/>
          <w:sz w:val="28"/>
          <w:szCs w:val="28"/>
          <w:highlight w:val="none"/>
        </w:rPr>
        <w:t>》</w:t>
      </w:r>
      <w:r>
        <w:rPr>
          <w:rFonts w:ascii="宋体" w:hAnsi="宋体" w:cs="宋体"/>
          <w:color w:val="auto"/>
          <w:sz w:val="28"/>
          <w:szCs w:val="28"/>
          <w:highlight w:val="none"/>
        </w:rPr>
        <w:t>GB/T 150.1</w:t>
      </w:r>
      <w:r>
        <w:rPr>
          <w:rFonts w:hint="eastAsia" w:ascii="宋体" w:hAnsi="宋体" w:cs="宋体"/>
          <w:color w:val="auto"/>
          <w:sz w:val="28"/>
          <w:szCs w:val="28"/>
          <w:highlight w:val="none"/>
        </w:rPr>
        <w:t>～</w:t>
      </w:r>
      <w:r>
        <w:rPr>
          <w:rFonts w:ascii="宋体" w:hAnsi="宋体" w:cs="宋体"/>
          <w:color w:val="auto"/>
          <w:sz w:val="28"/>
          <w:szCs w:val="28"/>
          <w:highlight w:val="none"/>
        </w:rPr>
        <w:t>GB 150.4-2011</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《热交换器》</w:t>
      </w:r>
      <w:r>
        <w:rPr>
          <w:rFonts w:ascii="宋体" w:hAnsi="宋体" w:cs="宋体"/>
          <w:color w:val="auto"/>
          <w:sz w:val="28"/>
          <w:szCs w:val="28"/>
          <w:highlight w:val="none"/>
        </w:rPr>
        <w:t>GB/T151-2014</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《塔式容器》标准释义与算例</w:t>
      </w:r>
      <w:r>
        <w:rPr>
          <w:rFonts w:ascii="宋体" w:hAnsi="宋体" w:cs="宋体"/>
          <w:color w:val="auto"/>
          <w:sz w:val="28"/>
          <w:szCs w:val="28"/>
          <w:highlight w:val="none"/>
        </w:rPr>
        <w:t>NB/T47041-2014</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《压力容器中化学介质毒性危害和爆炸危险程度分类》</w:t>
      </w:r>
      <w:r>
        <w:rPr>
          <w:rFonts w:ascii="宋体" w:hAnsi="宋体" w:cs="宋体"/>
          <w:color w:val="auto"/>
          <w:sz w:val="28"/>
          <w:szCs w:val="28"/>
          <w:highlight w:val="none"/>
        </w:rPr>
        <w:t>HG/T20660-2017</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《承压设备焊接工艺评定》</w:t>
      </w:r>
      <w:r>
        <w:rPr>
          <w:rFonts w:ascii="宋体" w:hAnsi="宋体" w:cs="宋体"/>
          <w:color w:val="auto"/>
          <w:sz w:val="28"/>
          <w:szCs w:val="28"/>
          <w:highlight w:val="none"/>
        </w:rPr>
        <w:t>NB/T4701-2011</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《压力容器焊接规程》</w:t>
      </w:r>
      <w:r>
        <w:rPr>
          <w:rFonts w:ascii="宋体" w:hAnsi="宋体" w:cs="宋体"/>
          <w:color w:val="auto"/>
          <w:sz w:val="28"/>
          <w:szCs w:val="28"/>
          <w:highlight w:val="none"/>
        </w:rPr>
        <w:t>NB/T47015-2011</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《压力容器波形膨胀节》</w:t>
      </w:r>
      <w:r>
        <w:rPr>
          <w:rFonts w:ascii="宋体" w:hAnsi="宋体" w:cs="宋体"/>
          <w:color w:val="auto"/>
          <w:sz w:val="28"/>
          <w:szCs w:val="28"/>
          <w:highlight w:val="none"/>
        </w:rPr>
        <w:t>GB/T16749-2018</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《衬里钢壳设计技术规定》</w:t>
      </w:r>
      <w:r>
        <w:rPr>
          <w:rFonts w:ascii="宋体" w:hAnsi="宋体" w:cs="宋体"/>
          <w:color w:val="auto"/>
          <w:sz w:val="28"/>
          <w:szCs w:val="28"/>
          <w:highlight w:val="none"/>
        </w:rPr>
        <w:t>HG/T20678-2000</w:t>
      </w:r>
    </w:p>
    <w:p>
      <w:pPr>
        <w:spacing w:line="560" w:lineRule="exact"/>
        <w:ind w:firstLine="560" w:firstLineChars="200"/>
        <w:rPr>
          <w:rFonts w:ascii="宋体" w:cs="宋体"/>
          <w:color w:val="auto"/>
          <w:sz w:val="28"/>
          <w:szCs w:val="28"/>
          <w:highlight w:val="none"/>
        </w:rPr>
      </w:pPr>
      <w:r>
        <w:rPr>
          <w:rFonts w:ascii="宋体" w:hAnsi="宋体" w:cs="宋体"/>
          <w:color w:val="auto"/>
          <w:sz w:val="28"/>
          <w:szCs w:val="28"/>
          <w:highlight w:val="none"/>
        </w:rPr>
        <w:t xml:space="preserve">4.3.3 </w:t>
      </w:r>
      <w:r>
        <w:rPr>
          <w:rFonts w:hint="eastAsia" w:ascii="宋体" w:hAnsi="宋体" w:cs="宋体"/>
          <w:color w:val="auto"/>
          <w:sz w:val="28"/>
          <w:szCs w:val="28"/>
          <w:highlight w:val="none"/>
        </w:rPr>
        <w:t>主要设备一览表</w:t>
      </w:r>
    </w:p>
    <w:p>
      <w:pPr>
        <w:spacing w:line="560" w:lineRule="exact"/>
        <w:ind w:firstLine="560" w:firstLineChars="200"/>
        <w:rPr>
          <w:rFonts w:ascii="宋体" w:cs="宋体"/>
          <w:color w:val="auto"/>
          <w:sz w:val="28"/>
          <w:szCs w:val="28"/>
          <w:highlight w:val="none"/>
        </w:rPr>
        <w:sectPr>
          <w:pgSz w:w="11906" w:h="16838"/>
          <w:pgMar w:top="1440" w:right="1800" w:bottom="1440" w:left="1800" w:header="851" w:footer="992" w:gutter="0"/>
          <w:cols w:space="425" w:num="1"/>
          <w:docGrid w:type="lines" w:linePitch="312" w:charSpace="0"/>
        </w:sectPr>
      </w:pPr>
      <w:r>
        <w:rPr>
          <w:rFonts w:hint="eastAsia" w:ascii="宋体" w:hAnsi="宋体" w:cs="宋体"/>
          <w:color w:val="auto"/>
          <w:sz w:val="28"/>
          <w:szCs w:val="28"/>
          <w:highlight w:val="none"/>
        </w:rPr>
        <w:t>本项目主要设备见表</w:t>
      </w:r>
      <w:r>
        <w:rPr>
          <w:rFonts w:ascii="宋体" w:hAnsi="宋体" w:cs="宋体"/>
          <w:color w:val="auto"/>
          <w:sz w:val="28"/>
          <w:szCs w:val="28"/>
          <w:highlight w:val="none"/>
        </w:rPr>
        <w:t>4.3-1</w:t>
      </w:r>
      <w:r>
        <w:rPr>
          <w:rFonts w:hint="eastAsia" w:ascii="宋体" w:hAnsi="宋体" w:cs="宋体"/>
          <w:color w:val="auto"/>
          <w:sz w:val="28"/>
          <w:szCs w:val="28"/>
          <w:highlight w:val="none"/>
        </w:rPr>
        <w:t>。</w:t>
      </w:r>
    </w:p>
    <w:p>
      <w:pPr>
        <w:pStyle w:val="9"/>
        <w:spacing w:line="560" w:lineRule="exact"/>
        <w:ind w:firstLine="492" w:firstLineChars="200"/>
        <w:jc w:val="center"/>
        <w:rPr>
          <w:rFonts w:hAnsi="宋体" w:cs="宋体"/>
          <w:color w:val="auto"/>
          <w:spacing w:val="3"/>
          <w:sz w:val="24"/>
          <w:szCs w:val="24"/>
          <w:highlight w:val="none"/>
        </w:rPr>
      </w:pPr>
      <w:r>
        <w:rPr>
          <w:rFonts w:hint="eastAsia" w:hAnsi="宋体" w:cs="宋体"/>
          <w:color w:val="auto"/>
          <w:spacing w:val="3"/>
          <w:sz w:val="24"/>
          <w:szCs w:val="24"/>
          <w:highlight w:val="none"/>
        </w:rPr>
        <w:t>表</w:t>
      </w:r>
      <w:r>
        <w:rPr>
          <w:rFonts w:hAnsi="宋体" w:cs="宋体"/>
          <w:color w:val="auto"/>
          <w:spacing w:val="3"/>
          <w:sz w:val="24"/>
          <w:szCs w:val="24"/>
          <w:highlight w:val="none"/>
        </w:rPr>
        <w:t xml:space="preserve">4.3-1 </w:t>
      </w:r>
      <w:r>
        <w:rPr>
          <w:rFonts w:hint="eastAsia" w:hAnsi="宋体" w:cs="宋体"/>
          <w:color w:val="auto"/>
          <w:spacing w:val="3"/>
          <w:sz w:val="24"/>
          <w:szCs w:val="24"/>
          <w:highlight w:val="none"/>
        </w:rPr>
        <w:t>主要设备一览表</w:t>
      </w:r>
    </w:p>
    <w:tbl>
      <w:tblPr>
        <w:tblStyle w:val="16"/>
        <w:tblW w:w="4997" w:type="pct"/>
        <w:tblInd w:w="0" w:type="dxa"/>
        <w:tblLayout w:type="autofit"/>
        <w:tblCellMar>
          <w:top w:w="0" w:type="dxa"/>
          <w:left w:w="108" w:type="dxa"/>
          <w:bottom w:w="0" w:type="dxa"/>
          <w:right w:w="108" w:type="dxa"/>
        </w:tblCellMar>
      </w:tblPr>
      <w:tblGrid>
        <w:gridCol w:w="592"/>
        <w:gridCol w:w="2159"/>
        <w:gridCol w:w="1101"/>
        <w:gridCol w:w="2890"/>
        <w:gridCol w:w="1716"/>
        <w:gridCol w:w="1186"/>
        <w:gridCol w:w="1160"/>
        <w:gridCol w:w="893"/>
        <w:gridCol w:w="2468"/>
      </w:tblGrid>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Style w:val="35"/>
                <w:rFonts w:hint="eastAsia" w:ascii="宋体" w:hAnsi="宋体" w:eastAsia="宋体" w:cs="宋体"/>
                <w:color w:val="auto"/>
                <w:sz w:val="21"/>
                <w:szCs w:val="21"/>
                <w:highlight w:val="none"/>
              </w:rPr>
              <w:t>序号</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Style w:val="35"/>
                <w:rFonts w:hint="eastAsia" w:ascii="宋体" w:hAnsi="宋体" w:eastAsia="宋体" w:cs="宋体"/>
                <w:color w:val="auto"/>
                <w:sz w:val="21"/>
                <w:szCs w:val="21"/>
                <w:highlight w:val="none"/>
              </w:rPr>
              <w:t>名</w:t>
            </w:r>
            <w:r>
              <w:rPr>
                <w:rStyle w:val="36"/>
                <w:rFonts w:ascii="宋体" w:hAnsi="宋体" w:eastAsia="宋体" w:cs="宋体"/>
                <w:color w:val="auto"/>
                <w:sz w:val="21"/>
                <w:szCs w:val="21"/>
                <w:highlight w:val="none"/>
              </w:rPr>
              <w:t xml:space="preserve">  </w:t>
            </w:r>
            <w:r>
              <w:rPr>
                <w:rStyle w:val="35"/>
                <w:rFonts w:hint="eastAsia" w:ascii="宋体" w:hAnsi="宋体" w:eastAsia="宋体" w:cs="宋体"/>
                <w:color w:val="auto"/>
                <w:sz w:val="21"/>
                <w:szCs w:val="21"/>
                <w:highlight w:val="none"/>
              </w:rPr>
              <w:t>称</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Style w:val="35"/>
                <w:rFonts w:hint="eastAsia" w:ascii="宋体" w:hAnsi="宋体" w:eastAsia="宋体" w:cs="宋体"/>
                <w:color w:val="auto"/>
                <w:sz w:val="21"/>
                <w:szCs w:val="21"/>
                <w:highlight w:val="none"/>
              </w:rPr>
              <w:t>材</w:t>
            </w:r>
            <w:r>
              <w:rPr>
                <w:rStyle w:val="36"/>
                <w:rFonts w:ascii="宋体" w:hAnsi="宋体" w:eastAsia="宋体" w:cs="宋体"/>
                <w:color w:val="auto"/>
                <w:sz w:val="21"/>
                <w:szCs w:val="21"/>
                <w:highlight w:val="none"/>
              </w:rPr>
              <w:t xml:space="preserve">  </w:t>
            </w:r>
            <w:r>
              <w:rPr>
                <w:rStyle w:val="35"/>
                <w:rFonts w:hint="eastAsia" w:ascii="宋体" w:hAnsi="宋体" w:eastAsia="宋体" w:cs="宋体"/>
                <w:color w:val="auto"/>
                <w:sz w:val="21"/>
                <w:szCs w:val="21"/>
                <w:highlight w:val="none"/>
              </w:rPr>
              <w:t>质</w:t>
            </w:r>
          </w:p>
        </w:tc>
        <w:tc>
          <w:tcPr>
            <w:tcW w:w="1019" w:type="pct"/>
            <w:tcBorders>
              <w:top w:val="single" w:color="000000" w:sz="4" w:space="0"/>
              <w:left w:val="single" w:color="000000" w:sz="4" w:space="0"/>
              <w:bottom w:val="single" w:color="000000" w:sz="4" w:space="0"/>
              <w:right w:val="single" w:color="000000" w:sz="4" w:space="0"/>
            </w:tcBorders>
            <w:vAlign w:val="bottom"/>
          </w:tcPr>
          <w:p>
            <w:pPr>
              <w:widowControl/>
              <w:jc w:val="center"/>
              <w:textAlignment w:val="bottom"/>
              <w:rPr>
                <w:rFonts w:ascii="宋体" w:cs="宋体"/>
                <w:color w:val="auto"/>
                <w:szCs w:val="21"/>
                <w:highlight w:val="none"/>
              </w:rPr>
            </w:pPr>
            <w:r>
              <w:rPr>
                <w:rStyle w:val="35"/>
                <w:rFonts w:hint="eastAsia" w:ascii="宋体" w:hAnsi="宋体" w:eastAsia="宋体" w:cs="宋体"/>
                <w:color w:val="auto"/>
                <w:sz w:val="21"/>
                <w:szCs w:val="21"/>
                <w:highlight w:val="none"/>
              </w:rPr>
              <w:t>规</w:t>
            </w:r>
            <w:r>
              <w:rPr>
                <w:rStyle w:val="36"/>
                <w:rFonts w:ascii="宋体" w:hAnsi="宋体" w:eastAsia="宋体" w:cs="宋体"/>
                <w:color w:val="auto"/>
                <w:sz w:val="21"/>
                <w:szCs w:val="21"/>
                <w:highlight w:val="none"/>
              </w:rPr>
              <w:t xml:space="preserve">  </w:t>
            </w:r>
            <w:r>
              <w:rPr>
                <w:rStyle w:val="35"/>
                <w:rFonts w:hint="eastAsia" w:ascii="宋体" w:hAnsi="宋体" w:eastAsia="宋体" w:cs="宋体"/>
                <w:color w:val="auto"/>
                <w:sz w:val="21"/>
                <w:szCs w:val="21"/>
                <w:highlight w:val="none"/>
              </w:rPr>
              <w:t>格</w:t>
            </w:r>
            <w:r>
              <w:rPr>
                <w:rStyle w:val="35"/>
                <w:rFonts w:ascii="宋体" w:hAnsi="Calibri" w:eastAsia="宋体" w:cs="宋体"/>
                <w:color w:val="auto"/>
                <w:sz w:val="21"/>
                <w:szCs w:val="21"/>
                <w:highlight w:val="none"/>
              </w:rPr>
              <w:br w:type="textWrapping"/>
            </w:r>
            <w:r>
              <w:rPr>
                <w:rStyle w:val="35"/>
                <w:rFonts w:hint="eastAsia" w:ascii="宋体" w:hAnsi="宋体" w:eastAsia="宋体" w:cs="宋体"/>
                <w:color w:val="auto"/>
                <w:sz w:val="21"/>
                <w:szCs w:val="21"/>
                <w:highlight w:val="none"/>
              </w:rPr>
              <w:t>（</w:t>
            </w:r>
            <w:r>
              <w:rPr>
                <w:rStyle w:val="35"/>
                <w:rFonts w:ascii="宋体" w:hAnsi="宋体" w:eastAsia="宋体" w:cs="宋体"/>
                <w:color w:val="auto"/>
                <w:sz w:val="21"/>
                <w:szCs w:val="21"/>
                <w:highlight w:val="none"/>
              </w:rPr>
              <w:t>mm</w:t>
            </w:r>
            <w:r>
              <w:rPr>
                <w:rStyle w:val="35"/>
                <w:rFonts w:hint="eastAsia" w:ascii="宋体" w:hAnsi="宋体" w:eastAsia="宋体" w:cs="宋体"/>
                <w:color w:val="auto"/>
                <w:sz w:val="21"/>
                <w:szCs w:val="21"/>
                <w:highlight w:val="none"/>
              </w:rPr>
              <w:t>）</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Style w:val="35"/>
                <w:rFonts w:hint="eastAsia" w:ascii="宋体" w:hAnsi="宋体" w:eastAsia="宋体" w:cs="宋体"/>
                <w:color w:val="auto"/>
                <w:sz w:val="21"/>
                <w:szCs w:val="21"/>
                <w:highlight w:val="none"/>
              </w:rPr>
              <w:t>类型</w:t>
            </w:r>
          </w:p>
        </w:tc>
        <w:tc>
          <w:tcPr>
            <w:tcW w:w="418" w:type="pct"/>
            <w:tcBorders>
              <w:top w:val="single" w:color="000000" w:sz="4" w:space="0"/>
              <w:left w:val="single" w:color="000000" w:sz="4" w:space="0"/>
              <w:bottom w:val="single" w:color="000000" w:sz="4" w:space="0"/>
              <w:right w:val="single" w:color="000000" w:sz="4" w:space="0"/>
            </w:tcBorders>
            <w:vAlign w:val="bottom"/>
          </w:tcPr>
          <w:p>
            <w:pPr>
              <w:widowControl/>
              <w:jc w:val="center"/>
              <w:textAlignment w:val="bottom"/>
              <w:rPr>
                <w:rFonts w:ascii="宋体" w:cs="宋体"/>
                <w:color w:val="auto"/>
                <w:szCs w:val="21"/>
                <w:highlight w:val="none"/>
              </w:rPr>
            </w:pPr>
            <w:r>
              <w:rPr>
                <w:rStyle w:val="35"/>
                <w:rFonts w:hint="eastAsia" w:ascii="宋体" w:hAnsi="宋体" w:eastAsia="宋体" w:cs="宋体"/>
                <w:color w:val="auto"/>
                <w:sz w:val="21"/>
                <w:szCs w:val="21"/>
                <w:highlight w:val="none"/>
              </w:rPr>
              <w:t>设计温度</w:t>
            </w:r>
            <w:r>
              <w:rPr>
                <w:rStyle w:val="35"/>
                <w:rFonts w:ascii="宋体" w:hAnsi="Calibri" w:eastAsia="宋体" w:cs="宋体"/>
                <w:color w:val="auto"/>
                <w:sz w:val="21"/>
                <w:szCs w:val="21"/>
                <w:highlight w:val="none"/>
              </w:rPr>
              <w:br w:type="textWrapping"/>
            </w:r>
            <w:r>
              <w:rPr>
                <w:rStyle w:val="35"/>
                <w:rFonts w:ascii="宋体" w:hAnsi="宋体" w:eastAsia="宋体" w:cs="宋体"/>
                <w:color w:val="auto"/>
                <w:sz w:val="21"/>
                <w:szCs w:val="21"/>
                <w:highlight w:val="none"/>
              </w:rPr>
              <w:t>(</w:t>
            </w:r>
            <w:r>
              <w:rPr>
                <w:rStyle w:val="35"/>
                <w:rFonts w:hint="eastAsia" w:ascii="宋体" w:hAnsi="宋体" w:eastAsia="宋体" w:cs="宋体"/>
                <w:color w:val="auto"/>
                <w:sz w:val="21"/>
                <w:szCs w:val="21"/>
                <w:highlight w:val="none"/>
              </w:rPr>
              <w:t>℃</w:t>
            </w:r>
            <w:r>
              <w:rPr>
                <w:rStyle w:val="35"/>
                <w:rFonts w:ascii="宋体" w:hAnsi="宋体" w:eastAsia="宋体" w:cs="宋体"/>
                <w:color w:val="auto"/>
                <w:sz w:val="21"/>
                <w:szCs w:val="21"/>
                <w:highlight w:val="none"/>
              </w:rPr>
              <w:t>)</w:t>
            </w:r>
          </w:p>
        </w:tc>
        <w:tc>
          <w:tcPr>
            <w:tcW w:w="409" w:type="pct"/>
            <w:tcBorders>
              <w:top w:val="single" w:color="000000" w:sz="4" w:space="0"/>
              <w:left w:val="single" w:color="000000" w:sz="4" w:space="0"/>
              <w:bottom w:val="single" w:color="000000" w:sz="4" w:space="0"/>
              <w:right w:val="single" w:color="000000" w:sz="4" w:space="0"/>
            </w:tcBorders>
            <w:vAlign w:val="bottom"/>
          </w:tcPr>
          <w:p>
            <w:pPr>
              <w:widowControl/>
              <w:jc w:val="center"/>
              <w:textAlignment w:val="bottom"/>
              <w:rPr>
                <w:rFonts w:ascii="宋体" w:cs="宋体"/>
                <w:color w:val="auto"/>
                <w:szCs w:val="21"/>
                <w:highlight w:val="none"/>
              </w:rPr>
            </w:pPr>
            <w:r>
              <w:rPr>
                <w:rStyle w:val="35"/>
                <w:rFonts w:hint="eastAsia" w:ascii="宋体" w:hAnsi="宋体" w:eastAsia="宋体" w:cs="宋体"/>
                <w:color w:val="auto"/>
                <w:sz w:val="21"/>
                <w:szCs w:val="21"/>
                <w:highlight w:val="none"/>
              </w:rPr>
              <w:t>设计压力</w:t>
            </w:r>
            <w:r>
              <w:rPr>
                <w:rStyle w:val="35"/>
                <w:rFonts w:ascii="宋体" w:hAnsi="Calibri" w:eastAsia="宋体" w:cs="宋体"/>
                <w:color w:val="auto"/>
                <w:sz w:val="21"/>
                <w:szCs w:val="21"/>
                <w:highlight w:val="none"/>
              </w:rPr>
              <w:br w:type="textWrapping"/>
            </w:r>
            <w:r>
              <w:rPr>
                <w:rStyle w:val="35"/>
                <w:rFonts w:ascii="宋体" w:hAnsi="宋体" w:eastAsia="宋体" w:cs="宋体"/>
                <w:color w:val="auto"/>
                <w:sz w:val="21"/>
                <w:szCs w:val="21"/>
                <w:highlight w:val="none"/>
              </w:rPr>
              <w:t>(kPaG)</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Style w:val="35"/>
                <w:rFonts w:hint="eastAsia" w:ascii="宋体" w:hAnsi="宋体" w:eastAsia="宋体" w:cs="宋体"/>
                <w:color w:val="auto"/>
                <w:sz w:val="21"/>
                <w:szCs w:val="21"/>
                <w:highlight w:val="none"/>
              </w:rPr>
              <w:t>数量</w:t>
            </w:r>
          </w:p>
        </w:tc>
        <w:tc>
          <w:tcPr>
            <w:tcW w:w="870"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Style w:val="35"/>
                <w:rFonts w:hint="eastAsia" w:ascii="宋体" w:hAnsi="宋体" w:eastAsia="宋体" w:cs="宋体"/>
                <w:color w:val="auto"/>
                <w:sz w:val="21"/>
                <w:szCs w:val="21"/>
                <w:highlight w:val="none"/>
              </w:rPr>
              <w:t>备</w:t>
            </w:r>
            <w:r>
              <w:rPr>
                <w:rStyle w:val="36"/>
                <w:rFonts w:ascii="宋体" w:hAnsi="宋体" w:eastAsia="宋体" w:cs="宋体"/>
                <w:color w:val="auto"/>
                <w:sz w:val="21"/>
                <w:szCs w:val="21"/>
                <w:highlight w:val="none"/>
              </w:rPr>
              <w:t xml:space="preserve">  </w:t>
            </w:r>
            <w:r>
              <w:rPr>
                <w:rStyle w:val="35"/>
                <w:rFonts w:hint="eastAsia" w:ascii="宋体" w:hAnsi="宋体" w:eastAsia="宋体" w:cs="宋体"/>
                <w:color w:val="auto"/>
                <w:sz w:val="21"/>
                <w:szCs w:val="21"/>
                <w:highlight w:val="none"/>
              </w:rPr>
              <w:t>注</w:t>
            </w:r>
          </w:p>
        </w:tc>
      </w:tr>
      <w:tr>
        <w:tblPrEx>
          <w:tblCellMar>
            <w:top w:w="0" w:type="dxa"/>
            <w:left w:w="108" w:type="dxa"/>
            <w:bottom w:w="0" w:type="dxa"/>
            <w:right w:w="108" w:type="dxa"/>
          </w:tblCellMar>
        </w:tblPrEx>
        <w:trPr>
          <w:trHeight w:val="567" w:hRule="atLeast"/>
        </w:trPr>
        <w:tc>
          <w:tcPr>
            <w:tcW w:w="209"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lang w:val="en-US" w:eastAsia="zh-CN"/>
              </w:rPr>
              <w:t>次氯酸钠反应</w:t>
            </w:r>
            <w:r>
              <w:rPr>
                <w:rFonts w:hint="eastAsia" w:ascii="宋体" w:hAnsi="宋体" w:cs="宋体"/>
                <w:color w:val="auto"/>
                <w:kern w:val="0"/>
                <w:szCs w:val="21"/>
                <w:highlight w:val="none"/>
              </w:rPr>
              <w:t>塔</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PVC+FRP</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ID: 1000</w:t>
            </w:r>
            <w:r>
              <w:rPr>
                <w:rFonts w:ascii="宋体" w:hAnsi="宋体" w:cs="宋体"/>
                <w:color w:val="auto"/>
                <w:kern w:val="0"/>
                <w:szCs w:val="21"/>
                <w:highlight w:val="none"/>
              </w:rPr>
              <w:br w:type="textWrapping"/>
            </w:r>
            <w:r>
              <w:rPr>
                <w:rFonts w:ascii="宋体" w:hAnsi="宋体" w:cs="宋体"/>
                <w:color w:val="auto"/>
                <w:kern w:val="0"/>
                <w:szCs w:val="21"/>
                <w:highlight w:val="none"/>
              </w:rPr>
              <w:t>H: ~9000</w:t>
            </w:r>
            <w:r>
              <w:rPr>
                <w:rStyle w:val="37"/>
                <w:rFonts w:hint="eastAsia"/>
                <w:color w:val="auto"/>
                <w:sz w:val="21"/>
                <w:szCs w:val="21"/>
                <w:highlight w:val="none"/>
              </w:rPr>
              <w:t>（</w:t>
            </w:r>
            <w:r>
              <w:rPr>
                <w:rStyle w:val="38"/>
                <w:rFonts w:ascii="宋体" w:hAnsi="宋体" w:cs="宋体"/>
                <w:color w:val="auto"/>
                <w:sz w:val="21"/>
                <w:szCs w:val="21"/>
                <w:highlight w:val="none"/>
              </w:rPr>
              <w:t>T/T</w:t>
            </w:r>
            <w:r>
              <w:rPr>
                <w:rStyle w:val="37"/>
                <w:rFonts w:hint="eastAsia"/>
                <w:color w:val="auto"/>
                <w:sz w:val="21"/>
                <w:szCs w:val="21"/>
                <w:highlight w:val="none"/>
              </w:rPr>
              <w:t>）</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立式</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-20/40</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w:t>
            </w: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r>
        <w:tblPrEx>
          <w:tblCellMar>
            <w:top w:w="0" w:type="dxa"/>
            <w:left w:w="108" w:type="dxa"/>
            <w:bottom w:w="0" w:type="dxa"/>
            <w:right w:w="108" w:type="dxa"/>
          </w:tblCellMar>
        </w:tblPrEx>
        <w:trPr>
          <w:trHeight w:val="567" w:hRule="atLeast"/>
        </w:trPr>
        <w:tc>
          <w:tcPr>
            <w:tcW w:w="209" w:type="pct"/>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auto"/>
                <w:szCs w:val="21"/>
                <w:highlight w:val="none"/>
              </w:rPr>
            </w:pP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填料</w:t>
            </w:r>
          </w:p>
        </w:tc>
        <w:tc>
          <w:tcPr>
            <w:tcW w:w="388"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H: 5000</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鲍尔环</w:t>
            </w:r>
            <w:r>
              <w:rPr>
                <w:rFonts w:ascii="宋体" w:hAnsi="宋体" w:cs="宋体"/>
                <w:color w:val="auto"/>
                <w:kern w:val="0"/>
                <w:szCs w:val="21"/>
                <w:highlight w:val="none"/>
              </w:rPr>
              <w:t>DN50</w:t>
            </w:r>
          </w:p>
        </w:tc>
        <w:tc>
          <w:tcPr>
            <w:tcW w:w="418"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-20/40</w:t>
            </w:r>
          </w:p>
        </w:tc>
        <w:tc>
          <w:tcPr>
            <w:tcW w:w="315"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2</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lang w:val="en-US" w:eastAsia="zh-CN"/>
              </w:rPr>
              <w:t>次氯酸钠</w:t>
            </w:r>
            <w:r>
              <w:rPr>
                <w:rFonts w:hint="eastAsia" w:ascii="宋体" w:hAnsi="宋体" w:cs="宋体"/>
                <w:color w:val="auto"/>
                <w:kern w:val="0"/>
                <w:szCs w:val="21"/>
                <w:highlight w:val="none"/>
              </w:rPr>
              <w:t>冷却器</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Ti</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换热量</w:t>
            </w:r>
            <w:r>
              <w:rPr>
                <w:rFonts w:ascii="宋体" w:hAnsi="宋体" w:cs="宋体"/>
                <w:color w:val="auto"/>
                <w:kern w:val="0"/>
                <w:szCs w:val="21"/>
                <w:highlight w:val="none"/>
              </w:rPr>
              <w:t xml:space="preserve"> </w:t>
            </w:r>
            <w:r>
              <w:rPr>
                <w:rFonts w:hint="eastAsia" w:ascii="宋体" w:hAnsi="宋体" w:cs="宋体"/>
                <w:color w:val="auto"/>
                <w:kern w:val="0"/>
                <w:szCs w:val="21"/>
                <w:highlight w:val="none"/>
              </w:rPr>
              <w:t>：</w:t>
            </w:r>
            <w:r>
              <w:rPr>
                <w:rFonts w:ascii="宋体" w:hAnsi="宋体" w:cs="宋体"/>
                <w:color w:val="auto"/>
                <w:kern w:val="0"/>
                <w:szCs w:val="21"/>
                <w:highlight w:val="none"/>
              </w:rPr>
              <w:t>438kW</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板式</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700</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w:t>
            </w: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3</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lang w:val="en-US" w:eastAsia="zh-CN"/>
              </w:rPr>
              <w:t>次氯酸钠</w:t>
            </w:r>
            <w:r>
              <w:rPr>
                <w:rFonts w:hint="eastAsia" w:ascii="宋体" w:hAnsi="宋体" w:cs="宋体"/>
                <w:color w:val="auto"/>
                <w:kern w:val="0"/>
                <w:szCs w:val="21"/>
                <w:highlight w:val="none"/>
              </w:rPr>
              <w:t>循环泵</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C.S+F46</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流量</w:t>
            </w:r>
            <w:r>
              <w:rPr>
                <w:rFonts w:ascii="宋体" w:hAnsi="宋体" w:cs="宋体"/>
                <w:color w:val="auto"/>
                <w:kern w:val="0"/>
                <w:szCs w:val="21"/>
                <w:highlight w:val="none"/>
              </w:rPr>
              <w:t>31m</w:t>
            </w:r>
            <w:r>
              <w:rPr>
                <w:rFonts w:ascii="宋体" w:hAnsi="宋体" w:cs="宋体"/>
                <w:color w:val="auto"/>
                <w:kern w:val="0"/>
                <w:szCs w:val="21"/>
                <w:highlight w:val="none"/>
                <w:vertAlign w:val="superscript"/>
              </w:rPr>
              <w:t>3</w:t>
            </w:r>
            <w:r>
              <w:rPr>
                <w:rFonts w:ascii="宋体" w:hAnsi="宋体" w:cs="宋体"/>
                <w:color w:val="auto"/>
                <w:kern w:val="0"/>
                <w:szCs w:val="21"/>
                <w:highlight w:val="none"/>
              </w:rPr>
              <w:t>/h</w:t>
            </w:r>
            <w:r>
              <w:rPr>
                <w:rFonts w:ascii="宋体" w:hAnsi="宋体" w:cs="宋体"/>
                <w:color w:val="auto"/>
                <w:kern w:val="0"/>
                <w:szCs w:val="21"/>
                <w:highlight w:val="none"/>
              </w:rPr>
              <w:br w:type="textWrapping"/>
            </w:r>
            <w:r>
              <w:rPr>
                <w:rFonts w:hint="eastAsia" w:ascii="宋体" w:hAnsi="宋体" w:cs="宋体"/>
                <w:color w:val="auto"/>
                <w:kern w:val="0"/>
                <w:szCs w:val="21"/>
                <w:highlight w:val="none"/>
              </w:rPr>
              <w:t>扬程</w:t>
            </w:r>
            <w:r>
              <w:rPr>
                <w:rFonts w:ascii="宋体" w:hAnsi="宋体" w:cs="宋体"/>
                <w:color w:val="auto"/>
                <w:kern w:val="0"/>
                <w:szCs w:val="21"/>
                <w:highlight w:val="none"/>
              </w:rPr>
              <w:t>30m</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磁力泵</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700</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2</w:t>
            </w: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4</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碱泵（</w:t>
            </w:r>
            <w:r>
              <w:rPr>
                <w:rFonts w:ascii="宋体" w:hAnsi="宋体" w:cs="宋体"/>
                <w:color w:val="auto"/>
                <w:kern w:val="0"/>
                <w:szCs w:val="21"/>
                <w:highlight w:val="none"/>
              </w:rPr>
              <w:t>16%</w:t>
            </w:r>
            <w:r>
              <w:rPr>
                <w:rFonts w:hint="eastAsia" w:ascii="宋体" w:hAnsi="宋体" w:cs="宋体"/>
                <w:color w:val="auto"/>
                <w:kern w:val="0"/>
                <w:szCs w:val="21"/>
                <w:highlight w:val="none"/>
              </w:rPr>
              <w:t>）</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304</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流量</w:t>
            </w:r>
            <w:r>
              <w:rPr>
                <w:rFonts w:ascii="宋体" w:hAnsi="宋体" w:cs="宋体"/>
                <w:color w:val="auto"/>
                <w:kern w:val="0"/>
                <w:szCs w:val="21"/>
                <w:highlight w:val="none"/>
              </w:rPr>
              <w:t>6m</w:t>
            </w:r>
            <w:r>
              <w:rPr>
                <w:rFonts w:ascii="宋体" w:hAnsi="宋体" w:cs="宋体"/>
                <w:color w:val="auto"/>
                <w:kern w:val="0"/>
                <w:szCs w:val="21"/>
                <w:highlight w:val="none"/>
                <w:vertAlign w:val="superscript"/>
              </w:rPr>
              <w:t>3</w:t>
            </w:r>
            <w:r>
              <w:rPr>
                <w:rFonts w:ascii="宋体" w:hAnsi="宋体" w:cs="宋体"/>
                <w:color w:val="auto"/>
                <w:kern w:val="0"/>
                <w:szCs w:val="21"/>
                <w:highlight w:val="none"/>
              </w:rPr>
              <w:t>/h</w:t>
            </w:r>
            <w:r>
              <w:rPr>
                <w:rFonts w:ascii="宋体" w:hAnsi="宋体" w:cs="宋体"/>
                <w:color w:val="auto"/>
                <w:kern w:val="0"/>
                <w:szCs w:val="21"/>
                <w:highlight w:val="none"/>
              </w:rPr>
              <w:br w:type="textWrapping"/>
            </w:r>
            <w:r>
              <w:rPr>
                <w:rFonts w:hint="eastAsia" w:ascii="宋体" w:hAnsi="宋体" w:cs="宋体"/>
                <w:color w:val="auto"/>
                <w:kern w:val="0"/>
                <w:szCs w:val="21"/>
                <w:highlight w:val="none"/>
              </w:rPr>
              <w:t>扬程</w:t>
            </w:r>
            <w:r>
              <w:rPr>
                <w:rFonts w:ascii="宋体" w:hAnsi="宋体" w:cs="宋体"/>
                <w:color w:val="auto"/>
                <w:kern w:val="0"/>
                <w:szCs w:val="21"/>
                <w:highlight w:val="none"/>
              </w:rPr>
              <w:t>25 m</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离心泵</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700</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2</w:t>
            </w: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5</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lang w:val="en-US" w:eastAsia="zh-CN"/>
              </w:rPr>
              <w:t>次氯酸钠</w:t>
            </w:r>
            <w:r>
              <w:rPr>
                <w:rFonts w:hint="eastAsia" w:ascii="宋体" w:hAnsi="宋体" w:cs="宋体"/>
                <w:color w:val="auto"/>
                <w:kern w:val="0"/>
                <w:szCs w:val="21"/>
                <w:highlight w:val="none"/>
              </w:rPr>
              <w:t>输送泵</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C.S+F46</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流量</w:t>
            </w:r>
            <w:r>
              <w:rPr>
                <w:rFonts w:ascii="宋体" w:hAnsi="宋体" w:cs="宋体"/>
                <w:color w:val="auto"/>
                <w:kern w:val="0"/>
                <w:szCs w:val="21"/>
                <w:highlight w:val="none"/>
              </w:rPr>
              <w:t>30m</w:t>
            </w:r>
            <w:r>
              <w:rPr>
                <w:rFonts w:ascii="宋体" w:hAnsi="宋体" w:cs="宋体"/>
                <w:color w:val="auto"/>
                <w:kern w:val="0"/>
                <w:szCs w:val="21"/>
                <w:highlight w:val="none"/>
                <w:vertAlign w:val="superscript"/>
              </w:rPr>
              <w:t>3</w:t>
            </w:r>
            <w:r>
              <w:rPr>
                <w:rFonts w:ascii="宋体" w:hAnsi="宋体" w:cs="宋体"/>
                <w:color w:val="auto"/>
                <w:kern w:val="0"/>
                <w:szCs w:val="21"/>
                <w:highlight w:val="none"/>
              </w:rPr>
              <w:t>/h</w:t>
            </w:r>
            <w:r>
              <w:rPr>
                <w:rFonts w:ascii="宋体" w:hAnsi="宋体" w:cs="宋体"/>
                <w:color w:val="auto"/>
                <w:kern w:val="0"/>
                <w:szCs w:val="21"/>
                <w:highlight w:val="none"/>
              </w:rPr>
              <w:br w:type="textWrapping"/>
            </w:r>
            <w:r>
              <w:rPr>
                <w:rFonts w:hint="eastAsia" w:ascii="宋体" w:hAnsi="宋体" w:cs="宋体"/>
                <w:color w:val="auto"/>
                <w:kern w:val="0"/>
                <w:szCs w:val="21"/>
                <w:highlight w:val="none"/>
              </w:rPr>
              <w:t>扬程</w:t>
            </w:r>
            <w:r>
              <w:rPr>
                <w:rFonts w:ascii="宋体" w:hAnsi="宋体" w:cs="宋体"/>
                <w:color w:val="auto"/>
                <w:kern w:val="0"/>
                <w:szCs w:val="21"/>
                <w:highlight w:val="none"/>
              </w:rPr>
              <w:t>30 m</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磁力泵</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700</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2</w:t>
            </w: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lang w:val="en-US" w:eastAsia="zh-CN"/>
              </w:rPr>
              <w:t>次氯酸钠</w:t>
            </w:r>
            <w:r>
              <w:rPr>
                <w:rFonts w:hint="eastAsia" w:ascii="宋体" w:hAnsi="宋体" w:cs="宋体"/>
                <w:color w:val="auto"/>
                <w:kern w:val="0"/>
                <w:szCs w:val="21"/>
                <w:highlight w:val="none"/>
              </w:rPr>
              <w:t>循环槽</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PVC+FRP</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ID: 1800 H:2000</w:t>
            </w:r>
            <w:r>
              <w:rPr>
                <w:rFonts w:ascii="宋体" w:hAnsi="宋体" w:cs="宋体"/>
                <w:color w:val="auto"/>
                <w:kern w:val="0"/>
                <w:szCs w:val="21"/>
                <w:highlight w:val="none"/>
              </w:rPr>
              <w:br w:type="textWrapping"/>
            </w:r>
            <w:r>
              <w:rPr>
                <w:rFonts w:ascii="宋体" w:hAnsi="宋体" w:cs="宋体"/>
                <w:color w:val="auto"/>
                <w:kern w:val="0"/>
                <w:szCs w:val="21"/>
                <w:highlight w:val="none"/>
              </w:rPr>
              <w:t>V:5m</w:t>
            </w:r>
            <w:r>
              <w:rPr>
                <w:rFonts w:ascii="宋体" w:hAnsi="宋体" w:cs="宋体"/>
                <w:color w:val="auto"/>
                <w:kern w:val="0"/>
                <w:szCs w:val="21"/>
                <w:highlight w:val="none"/>
                <w:vertAlign w:val="superscript"/>
              </w:rPr>
              <w:t>3</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立式</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-20/40</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2</w:t>
            </w: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7</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配碱槽</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304</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ID: 3000 H:4000</w:t>
            </w:r>
            <w:r>
              <w:rPr>
                <w:rFonts w:ascii="宋体" w:hAnsi="宋体" w:cs="宋体"/>
                <w:color w:val="auto"/>
                <w:kern w:val="0"/>
                <w:szCs w:val="21"/>
                <w:highlight w:val="none"/>
              </w:rPr>
              <w:br w:type="textWrapping"/>
            </w:r>
            <w:r>
              <w:rPr>
                <w:rFonts w:ascii="宋体" w:hAnsi="宋体" w:cs="宋体"/>
                <w:color w:val="auto"/>
                <w:kern w:val="0"/>
                <w:szCs w:val="21"/>
                <w:highlight w:val="none"/>
              </w:rPr>
              <w:t>V:28m</w:t>
            </w:r>
            <w:r>
              <w:rPr>
                <w:rFonts w:ascii="宋体" w:hAnsi="宋体" w:cs="宋体"/>
                <w:color w:val="auto"/>
                <w:kern w:val="0"/>
                <w:szCs w:val="21"/>
                <w:highlight w:val="none"/>
                <w:vertAlign w:val="superscript"/>
              </w:rPr>
              <w:t>3</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立式</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常压</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w:t>
            </w:r>
          </w:p>
        </w:tc>
        <w:tc>
          <w:tcPr>
            <w:tcW w:w="870"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缓存</w:t>
            </w:r>
            <w:r>
              <w:rPr>
                <w:rFonts w:ascii="宋体" w:hAnsi="宋体" w:cs="宋体"/>
                <w:color w:val="auto"/>
                <w:kern w:val="0"/>
                <w:szCs w:val="21"/>
                <w:highlight w:val="none"/>
              </w:rPr>
              <w:t>4h</w:t>
            </w: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8</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lang w:val="en-US" w:eastAsia="zh-CN"/>
              </w:rPr>
              <w:t>次氯酸钠</w:t>
            </w:r>
            <w:r>
              <w:rPr>
                <w:rFonts w:hint="eastAsia" w:ascii="宋体" w:hAnsi="宋体" w:cs="宋体"/>
                <w:color w:val="auto"/>
                <w:kern w:val="0"/>
                <w:szCs w:val="21"/>
                <w:highlight w:val="none"/>
              </w:rPr>
              <w:t>缓冲罐</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PVC+FRP</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ID: 4800 H:5000</w:t>
            </w:r>
            <w:r>
              <w:rPr>
                <w:rFonts w:ascii="宋体" w:hAnsi="宋体" w:cs="宋体"/>
                <w:color w:val="auto"/>
                <w:kern w:val="0"/>
                <w:szCs w:val="21"/>
                <w:highlight w:val="none"/>
              </w:rPr>
              <w:br w:type="textWrapping"/>
            </w:r>
            <w:r>
              <w:rPr>
                <w:rFonts w:ascii="宋体" w:hAnsi="宋体" w:cs="宋体"/>
                <w:color w:val="auto"/>
                <w:kern w:val="0"/>
                <w:szCs w:val="21"/>
                <w:highlight w:val="none"/>
              </w:rPr>
              <w:t>V:90m</w:t>
            </w:r>
            <w:r>
              <w:rPr>
                <w:rFonts w:ascii="宋体" w:hAnsi="宋体" w:cs="宋体"/>
                <w:color w:val="auto"/>
                <w:kern w:val="0"/>
                <w:szCs w:val="21"/>
                <w:highlight w:val="none"/>
                <w:vertAlign w:val="superscript"/>
              </w:rPr>
              <w:t>3</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立式</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-20/40</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w:t>
            </w:r>
          </w:p>
        </w:tc>
        <w:tc>
          <w:tcPr>
            <w:tcW w:w="870"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缓存</w:t>
            </w:r>
            <w:r>
              <w:rPr>
                <w:rFonts w:ascii="宋体" w:hAnsi="宋体" w:cs="宋体"/>
                <w:color w:val="auto"/>
                <w:kern w:val="0"/>
                <w:szCs w:val="21"/>
                <w:highlight w:val="none"/>
              </w:rPr>
              <w:t>8h</w:t>
            </w: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9</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碱高位槽</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304</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ID: 1500 H:1500</w:t>
            </w:r>
            <w:r>
              <w:rPr>
                <w:rFonts w:ascii="宋体" w:hAnsi="宋体" w:cs="宋体"/>
                <w:color w:val="auto"/>
                <w:kern w:val="0"/>
                <w:szCs w:val="21"/>
                <w:highlight w:val="none"/>
              </w:rPr>
              <w:br w:type="textWrapping"/>
            </w:r>
            <w:r>
              <w:rPr>
                <w:rFonts w:ascii="宋体" w:hAnsi="宋体" w:cs="宋体"/>
                <w:color w:val="auto"/>
                <w:kern w:val="0"/>
                <w:szCs w:val="21"/>
                <w:highlight w:val="none"/>
              </w:rPr>
              <w:t>V:3m</w:t>
            </w:r>
            <w:r>
              <w:rPr>
                <w:rFonts w:ascii="宋体" w:hAnsi="宋体" w:cs="宋体"/>
                <w:color w:val="auto"/>
                <w:kern w:val="0"/>
                <w:szCs w:val="21"/>
                <w:highlight w:val="none"/>
                <w:vertAlign w:val="superscript"/>
              </w:rPr>
              <w:t>3</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立式</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ATM</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w:t>
            </w: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9</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尾气风机</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Ti</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Q:200Nm</w:t>
            </w:r>
            <w:r>
              <w:rPr>
                <w:rFonts w:ascii="宋体" w:hAnsi="宋体" w:cs="宋体"/>
                <w:color w:val="auto"/>
                <w:kern w:val="0"/>
                <w:szCs w:val="21"/>
                <w:highlight w:val="none"/>
                <w:vertAlign w:val="superscript"/>
              </w:rPr>
              <w:t>3</w:t>
            </w:r>
            <w:r>
              <w:rPr>
                <w:rFonts w:ascii="宋体" w:hAnsi="宋体" w:cs="宋体"/>
                <w:color w:val="auto"/>
                <w:kern w:val="0"/>
                <w:szCs w:val="21"/>
                <w:highlight w:val="none"/>
              </w:rPr>
              <w:t>/h</w:t>
            </w:r>
            <w:r>
              <w:rPr>
                <w:rFonts w:ascii="宋体" w:hAnsi="宋体" w:cs="宋体"/>
                <w:color w:val="auto"/>
                <w:kern w:val="0"/>
                <w:szCs w:val="21"/>
                <w:highlight w:val="none"/>
              </w:rPr>
              <w:br w:type="textWrapping"/>
            </w:r>
            <w:r>
              <w:rPr>
                <w:rFonts w:hint="eastAsia" w:ascii="宋体" w:hAnsi="宋体" w:cs="宋体"/>
                <w:color w:val="auto"/>
                <w:kern w:val="0"/>
                <w:szCs w:val="21"/>
                <w:highlight w:val="none"/>
              </w:rPr>
              <w:t>风压：</w:t>
            </w:r>
            <w:r>
              <w:rPr>
                <w:rFonts w:ascii="宋体" w:hAnsi="宋体" w:cs="宋体"/>
                <w:color w:val="auto"/>
                <w:kern w:val="0"/>
                <w:szCs w:val="21"/>
                <w:highlight w:val="none"/>
              </w:rPr>
              <w:t>2kPa</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离</w:t>
            </w:r>
            <w:r>
              <w:rPr>
                <w:rFonts w:ascii="宋体" w:hAnsi="宋体" w:cs="宋体"/>
                <w:color w:val="auto"/>
                <w:kern w:val="0"/>
                <w:szCs w:val="21"/>
                <w:highlight w:val="none"/>
              </w:rPr>
              <w:t xml:space="preserve"> </w:t>
            </w:r>
            <w:r>
              <w:rPr>
                <w:rFonts w:hint="eastAsia" w:ascii="宋体" w:hAnsi="宋体" w:cs="宋体"/>
                <w:color w:val="auto"/>
                <w:kern w:val="0"/>
                <w:szCs w:val="21"/>
                <w:highlight w:val="none"/>
              </w:rPr>
              <w:t>心风机</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2</w:t>
            </w: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10</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混合器</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Ti</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碱</w:t>
            </w:r>
            <w:r>
              <w:rPr>
                <w:rFonts w:ascii="宋体" w:hAnsi="宋体" w:cs="宋体"/>
                <w:color w:val="auto"/>
                <w:kern w:val="0"/>
                <w:szCs w:val="21"/>
                <w:highlight w:val="none"/>
              </w:rPr>
              <w:t xml:space="preserve"> </w:t>
            </w:r>
            <w:r>
              <w:rPr>
                <w:rFonts w:hint="eastAsia" w:ascii="宋体" w:hAnsi="宋体" w:cs="宋体"/>
                <w:color w:val="auto"/>
                <w:kern w:val="0"/>
                <w:szCs w:val="21"/>
                <w:highlight w:val="none"/>
              </w:rPr>
              <w:t>：</w:t>
            </w:r>
            <w:r>
              <w:rPr>
                <w:rFonts w:ascii="宋体" w:hAnsi="宋体" w:cs="宋体"/>
                <w:color w:val="auto"/>
                <w:kern w:val="0"/>
                <w:szCs w:val="21"/>
                <w:highlight w:val="none"/>
              </w:rPr>
              <w:t xml:space="preserve">DN50 </w:t>
            </w:r>
            <w:r>
              <w:rPr>
                <w:rFonts w:hint="eastAsia" w:ascii="宋体" w:hAnsi="宋体" w:cs="宋体"/>
                <w:color w:val="auto"/>
                <w:kern w:val="0"/>
                <w:szCs w:val="21"/>
                <w:highlight w:val="none"/>
              </w:rPr>
              <w:t>，</w:t>
            </w:r>
            <w:r>
              <w:rPr>
                <w:rFonts w:ascii="宋体" w:hAnsi="宋体" w:cs="宋体"/>
                <w:color w:val="auto"/>
                <w:kern w:val="0"/>
                <w:szCs w:val="21"/>
                <w:highlight w:val="none"/>
              </w:rPr>
              <w:t>5m</w:t>
            </w:r>
            <w:r>
              <w:rPr>
                <w:rFonts w:ascii="宋体" w:hAnsi="宋体" w:cs="宋体"/>
                <w:color w:val="auto"/>
                <w:kern w:val="0"/>
                <w:szCs w:val="21"/>
                <w:highlight w:val="none"/>
                <w:vertAlign w:val="superscript"/>
              </w:rPr>
              <w:t>3</w:t>
            </w:r>
            <w:r>
              <w:rPr>
                <w:rFonts w:ascii="宋体" w:hAnsi="宋体" w:cs="宋体"/>
                <w:color w:val="auto"/>
                <w:kern w:val="0"/>
                <w:szCs w:val="21"/>
                <w:highlight w:val="none"/>
              </w:rPr>
              <w:t>/h</w:t>
            </w:r>
            <w:r>
              <w:rPr>
                <w:rFonts w:ascii="宋体" w:hAnsi="宋体" w:cs="宋体"/>
                <w:color w:val="auto"/>
                <w:kern w:val="0"/>
                <w:szCs w:val="21"/>
                <w:highlight w:val="none"/>
              </w:rPr>
              <w:br w:type="textWrapping"/>
            </w:r>
            <w:r>
              <w:rPr>
                <w:rFonts w:hint="eastAsia" w:ascii="宋体" w:hAnsi="宋体" w:cs="宋体"/>
                <w:color w:val="auto"/>
                <w:kern w:val="0"/>
                <w:szCs w:val="21"/>
                <w:highlight w:val="none"/>
                <w:lang w:val="en-US" w:eastAsia="zh-CN"/>
              </w:rPr>
              <w:t>次氯酸钠</w:t>
            </w:r>
            <w:r>
              <w:rPr>
                <w:rFonts w:ascii="宋体" w:hAnsi="宋体" w:cs="宋体"/>
                <w:color w:val="auto"/>
                <w:kern w:val="0"/>
                <w:szCs w:val="21"/>
                <w:highlight w:val="none"/>
              </w:rPr>
              <w:t xml:space="preserve"> </w:t>
            </w:r>
            <w:r>
              <w:rPr>
                <w:rFonts w:hint="eastAsia" w:ascii="宋体" w:hAnsi="宋体" w:cs="宋体"/>
                <w:color w:val="auto"/>
                <w:kern w:val="0"/>
                <w:szCs w:val="21"/>
                <w:highlight w:val="none"/>
              </w:rPr>
              <w:t>：</w:t>
            </w:r>
            <w:r>
              <w:rPr>
                <w:rFonts w:ascii="宋体" w:hAnsi="宋体" w:cs="宋体"/>
                <w:color w:val="auto"/>
                <w:kern w:val="0"/>
                <w:szCs w:val="21"/>
                <w:highlight w:val="none"/>
              </w:rPr>
              <w:t xml:space="preserve">DN80 </w:t>
            </w:r>
            <w:r>
              <w:rPr>
                <w:rFonts w:hint="eastAsia" w:ascii="宋体" w:hAnsi="宋体" w:cs="宋体"/>
                <w:color w:val="auto"/>
                <w:kern w:val="0"/>
                <w:szCs w:val="21"/>
                <w:highlight w:val="none"/>
              </w:rPr>
              <w:t>，</w:t>
            </w:r>
            <w:r>
              <w:rPr>
                <w:rFonts w:ascii="宋体" w:hAnsi="宋体" w:cs="宋体"/>
                <w:color w:val="auto"/>
                <w:kern w:val="0"/>
                <w:szCs w:val="21"/>
                <w:highlight w:val="none"/>
              </w:rPr>
              <w:t>31m</w:t>
            </w:r>
            <w:r>
              <w:rPr>
                <w:rFonts w:ascii="宋体" w:hAnsi="宋体" w:cs="宋体"/>
                <w:color w:val="auto"/>
                <w:kern w:val="0"/>
                <w:szCs w:val="21"/>
                <w:highlight w:val="none"/>
                <w:vertAlign w:val="superscript"/>
              </w:rPr>
              <w:t>3</w:t>
            </w:r>
            <w:r>
              <w:rPr>
                <w:rFonts w:ascii="宋体" w:hAnsi="宋体" w:cs="宋体"/>
                <w:color w:val="auto"/>
                <w:kern w:val="0"/>
                <w:szCs w:val="21"/>
                <w:highlight w:val="none"/>
              </w:rPr>
              <w:t>/h</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管道式</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700</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w:t>
            </w: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r>
        <w:tblPrEx>
          <w:tblCellMar>
            <w:top w:w="0" w:type="dxa"/>
            <w:left w:w="108" w:type="dxa"/>
            <w:bottom w:w="0" w:type="dxa"/>
            <w:right w:w="108" w:type="dxa"/>
          </w:tblCellMar>
        </w:tblPrEx>
        <w:trPr>
          <w:trHeight w:val="567" w:hRule="atLeast"/>
        </w:trPr>
        <w:tc>
          <w:tcPr>
            <w:tcW w:w="2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11</w:t>
            </w:r>
          </w:p>
        </w:tc>
        <w:tc>
          <w:tcPr>
            <w:tcW w:w="761"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混合器</w:t>
            </w:r>
          </w:p>
        </w:tc>
        <w:tc>
          <w:tcPr>
            <w:tcW w:w="38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S304</w:t>
            </w:r>
          </w:p>
        </w:tc>
        <w:tc>
          <w:tcPr>
            <w:tcW w:w="101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碱</w:t>
            </w:r>
            <w:r>
              <w:rPr>
                <w:rFonts w:ascii="宋体" w:hAnsi="宋体" w:cs="宋体"/>
                <w:color w:val="auto"/>
                <w:kern w:val="0"/>
                <w:szCs w:val="21"/>
                <w:highlight w:val="none"/>
              </w:rPr>
              <w:t xml:space="preserve"> </w:t>
            </w:r>
            <w:r>
              <w:rPr>
                <w:rFonts w:hint="eastAsia" w:ascii="宋体" w:hAnsi="宋体" w:cs="宋体"/>
                <w:color w:val="auto"/>
                <w:kern w:val="0"/>
                <w:szCs w:val="21"/>
                <w:highlight w:val="none"/>
              </w:rPr>
              <w:t>：</w:t>
            </w:r>
            <w:r>
              <w:rPr>
                <w:rFonts w:ascii="宋体" w:hAnsi="宋体" w:cs="宋体"/>
                <w:color w:val="auto"/>
                <w:kern w:val="0"/>
                <w:szCs w:val="21"/>
                <w:highlight w:val="none"/>
              </w:rPr>
              <w:t xml:space="preserve">DN50 </w:t>
            </w:r>
            <w:r>
              <w:rPr>
                <w:rFonts w:hint="eastAsia" w:ascii="宋体" w:hAnsi="宋体" w:cs="宋体"/>
                <w:color w:val="auto"/>
                <w:kern w:val="0"/>
                <w:szCs w:val="21"/>
                <w:highlight w:val="none"/>
              </w:rPr>
              <w:t>，</w:t>
            </w:r>
            <w:r>
              <w:rPr>
                <w:rFonts w:ascii="宋体" w:hAnsi="宋体" w:cs="宋体"/>
                <w:color w:val="auto"/>
                <w:kern w:val="0"/>
                <w:szCs w:val="21"/>
                <w:highlight w:val="none"/>
              </w:rPr>
              <w:t>3m</w:t>
            </w:r>
            <w:r>
              <w:rPr>
                <w:rFonts w:ascii="宋体" w:hAnsi="宋体" w:cs="宋体"/>
                <w:color w:val="auto"/>
                <w:kern w:val="0"/>
                <w:szCs w:val="21"/>
                <w:highlight w:val="none"/>
                <w:vertAlign w:val="superscript"/>
              </w:rPr>
              <w:t>3</w:t>
            </w:r>
            <w:r>
              <w:rPr>
                <w:rFonts w:ascii="宋体" w:hAnsi="宋体" w:cs="宋体"/>
                <w:color w:val="auto"/>
                <w:kern w:val="0"/>
                <w:szCs w:val="21"/>
                <w:highlight w:val="none"/>
              </w:rPr>
              <w:t>/h</w:t>
            </w:r>
            <w:r>
              <w:rPr>
                <w:rFonts w:ascii="宋体" w:hAnsi="宋体" w:cs="宋体"/>
                <w:color w:val="auto"/>
                <w:kern w:val="0"/>
                <w:szCs w:val="21"/>
                <w:highlight w:val="none"/>
              </w:rPr>
              <w:br w:type="textWrapping"/>
            </w:r>
            <w:r>
              <w:rPr>
                <w:rFonts w:hint="eastAsia" w:ascii="宋体" w:hAnsi="宋体" w:cs="宋体"/>
                <w:color w:val="auto"/>
                <w:kern w:val="0"/>
                <w:szCs w:val="21"/>
                <w:highlight w:val="none"/>
              </w:rPr>
              <w:t>水</w:t>
            </w:r>
            <w:r>
              <w:rPr>
                <w:rFonts w:ascii="宋体" w:hAnsi="宋体" w:cs="宋体"/>
                <w:color w:val="auto"/>
                <w:kern w:val="0"/>
                <w:szCs w:val="21"/>
                <w:highlight w:val="none"/>
              </w:rPr>
              <w:t xml:space="preserve"> </w:t>
            </w:r>
            <w:r>
              <w:rPr>
                <w:rFonts w:hint="eastAsia" w:ascii="宋体" w:hAnsi="宋体" w:cs="宋体"/>
                <w:color w:val="auto"/>
                <w:kern w:val="0"/>
                <w:szCs w:val="21"/>
                <w:highlight w:val="none"/>
              </w:rPr>
              <w:t>：</w:t>
            </w:r>
            <w:r>
              <w:rPr>
                <w:rFonts w:ascii="宋体" w:hAnsi="宋体" w:cs="宋体"/>
                <w:color w:val="auto"/>
                <w:kern w:val="0"/>
                <w:szCs w:val="21"/>
                <w:highlight w:val="none"/>
              </w:rPr>
              <w:t xml:space="preserve">DN50 </w:t>
            </w:r>
            <w:r>
              <w:rPr>
                <w:rFonts w:hint="eastAsia" w:ascii="宋体" w:hAnsi="宋体" w:cs="宋体"/>
                <w:color w:val="auto"/>
                <w:kern w:val="0"/>
                <w:szCs w:val="21"/>
                <w:highlight w:val="none"/>
              </w:rPr>
              <w:t>，</w:t>
            </w:r>
            <w:r>
              <w:rPr>
                <w:rFonts w:ascii="宋体" w:hAnsi="宋体" w:cs="宋体"/>
                <w:color w:val="auto"/>
                <w:kern w:val="0"/>
                <w:szCs w:val="21"/>
                <w:highlight w:val="none"/>
              </w:rPr>
              <w:t>3m</w:t>
            </w:r>
            <w:r>
              <w:rPr>
                <w:rFonts w:ascii="宋体" w:hAnsi="宋体" w:cs="宋体"/>
                <w:color w:val="auto"/>
                <w:kern w:val="0"/>
                <w:szCs w:val="21"/>
                <w:highlight w:val="none"/>
                <w:vertAlign w:val="superscript"/>
              </w:rPr>
              <w:t>3</w:t>
            </w:r>
            <w:r>
              <w:rPr>
                <w:rFonts w:ascii="宋体" w:hAnsi="宋体" w:cs="宋体"/>
                <w:color w:val="auto"/>
                <w:kern w:val="0"/>
                <w:szCs w:val="21"/>
                <w:highlight w:val="none"/>
              </w:rPr>
              <w:t>/h</w:t>
            </w:r>
          </w:p>
        </w:tc>
        <w:tc>
          <w:tcPr>
            <w:tcW w:w="60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hint="eastAsia" w:ascii="宋体" w:hAnsi="宋体" w:cs="宋体"/>
                <w:color w:val="auto"/>
                <w:kern w:val="0"/>
                <w:szCs w:val="21"/>
                <w:highlight w:val="none"/>
              </w:rPr>
              <w:t>管道式</w:t>
            </w:r>
          </w:p>
        </w:tc>
        <w:tc>
          <w:tcPr>
            <w:tcW w:w="418"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65</w:t>
            </w:r>
          </w:p>
        </w:tc>
        <w:tc>
          <w:tcPr>
            <w:tcW w:w="409"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700</w:t>
            </w:r>
          </w:p>
        </w:tc>
        <w:tc>
          <w:tcPr>
            <w:tcW w:w="31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w:t>
            </w:r>
          </w:p>
        </w:tc>
        <w:tc>
          <w:tcPr>
            <w:tcW w:w="870" w:type="pct"/>
            <w:tcBorders>
              <w:top w:val="single" w:color="000000" w:sz="4" w:space="0"/>
              <w:left w:val="single" w:color="000000" w:sz="4" w:space="0"/>
              <w:bottom w:val="single" w:color="000000" w:sz="4" w:space="0"/>
              <w:right w:val="single" w:color="000000" w:sz="4" w:space="0"/>
            </w:tcBorders>
          </w:tcPr>
          <w:p>
            <w:pPr>
              <w:jc w:val="left"/>
              <w:rPr>
                <w:rFonts w:ascii="宋体" w:cs="宋体"/>
                <w:color w:val="auto"/>
                <w:szCs w:val="21"/>
                <w:highlight w:val="none"/>
              </w:rPr>
            </w:pPr>
          </w:p>
        </w:tc>
      </w:tr>
    </w:tbl>
    <w:p>
      <w:pPr>
        <w:pStyle w:val="9"/>
        <w:spacing w:line="560" w:lineRule="exact"/>
        <w:ind w:firstLine="572" w:firstLineChars="200"/>
        <w:rPr>
          <w:rFonts w:hAnsi="宋体" w:cs="宋体"/>
          <w:color w:val="auto"/>
          <w:spacing w:val="3"/>
          <w:sz w:val="28"/>
          <w:szCs w:val="28"/>
          <w:highlight w:val="none"/>
        </w:rPr>
        <w:sectPr>
          <w:pgSz w:w="16838" w:h="11906" w:orient="landscape"/>
          <w:pgMar w:top="1800" w:right="1440" w:bottom="1800" w:left="1440" w:header="851" w:footer="992" w:gutter="0"/>
          <w:cols w:space="425" w:num="1"/>
          <w:docGrid w:type="lines" w:linePitch="312" w:charSpace="0"/>
        </w:sectPr>
      </w:pPr>
    </w:p>
    <w:p>
      <w:pPr>
        <w:spacing w:line="560" w:lineRule="exact"/>
        <w:ind w:firstLine="560" w:firstLineChars="200"/>
        <w:outlineLvl w:val="1"/>
        <w:rPr>
          <w:rFonts w:ascii="宋体" w:cs="宋体"/>
          <w:color w:val="auto"/>
          <w:sz w:val="28"/>
          <w:szCs w:val="28"/>
          <w:highlight w:val="none"/>
        </w:rPr>
      </w:pPr>
      <w:bookmarkStart w:id="215" w:name="_Toc25202"/>
      <w:bookmarkStart w:id="216" w:name="_Toc16855"/>
      <w:r>
        <w:rPr>
          <w:rFonts w:ascii="宋体" w:hAnsi="宋体" w:cs="宋体"/>
          <w:color w:val="auto"/>
          <w:sz w:val="28"/>
          <w:szCs w:val="28"/>
          <w:highlight w:val="none"/>
        </w:rPr>
        <w:t>4.4</w:t>
      </w:r>
      <w:r>
        <w:rPr>
          <w:rFonts w:hint="eastAsia" w:ascii="宋体" w:hAnsi="宋体" w:cs="宋体"/>
          <w:color w:val="auto"/>
          <w:sz w:val="28"/>
          <w:szCs w:val="28"/>
          <w:highlight w:val="none"/>
        </w:rPr>
        <w:t>自控</w:t>
      </w:r>
      <w:bookmarkEnd w:id="208"/>
      <w:bookmarkEnd w:id="209"/>
      <w:bookmarkEnd w:id="210"/>
      <w:bookmarkEnd w:id="211"/>
      <w:bookmarkEnd w:id="212"/>
      <w:bookmarkEnd w:id="213"/>
      <w:bookmarkEnd w:id="214"/>
      <w:r>
        <w:rPr>
          <w:rFonts w:hint="eastAsia" w:ascii="宋体" w:hAnsi="宋体" w:cs="宋体"/>
          <w:color w:val="auto"/>
          <w:sz w:val="28"/>
          <w:szCs w:val="28"/>
          <w:highlight w:val="none"/>
        </w:rPr>
        <w:t>系统</w:t>
      </w:r>
      <w:bookmarkEnd w:id="215"/>
      <w:bookmarkEnd w:id="216"/>
    </w:p>
    <w:p>
      <w:pPr>
        <w:spacing w:line="560" w:lineRule="exact"/>
        <w:ind w:firstLine="560" w:firstLineChars="200"/>
        <w:rPr>
          <w:rFonts w:ascii="宋体" w:cs="宋体"/>
          <w:color w:val="auto"/>
          <w:sz w:val="28"/>
          <w:szCs w:val="28"/>
          <w:highlight w:val="none"/>
          <w:lang w:val="zh-CN"/>
        </w:rPr>
      </w:pPr>
      <w:bookmarkStart w:id="217" w:name="_Toc10440"/>
      <w:bookmarkStart w:id="218" w:name="_Toc18964"/>
      <w:bookmarkStart w:id="219" w:name="_Toc503433233"/>
      <w:bookmarkStart w:id="220" w:name="_Toc21923_WPSOffice_Level2"/>
      <w:bookmarkStart w:id="221" w:name="_Toc13610_WPSOffice_Level2"/>
      <w:bookmarkStart w:id="222" w:name="_Toc8655"/>
      <w:bookmarkStart w:id="223" w:name="_Toc16916"/>
      <w:bookmarkStart w:id="224" w:name="_Toc10194"/>
      <w:bookmarkStart w:id="225" w:name="_Toc8317_WPSOffice_Level2"/>
      <w:bookmarkStart w:id="226" w:name="_Toc4182_WPSOffice_Level2"/>
      <w:r>
        <w:rPr>
          <w:rFonts w:ascii="宋体" w:hAnsi="宋体" w:cs="宋体"/>
          <w:color w:val="auto"/>
          <w:sz w:val="28"/>
          <w:szCs w:val="28"/>
          <w:highlight w:val="none"/>
          <w:lang w:val="zh-CN"/>
        </w:rPr>
        <w:t>4.</w:t>
      </w:r>
      <w:r>
        <w:rPr>
          <w:rFonts w:ascii="宋体" w:hAnsi="宋体" w:cs="宋体"/>
          <w:color w:val="auto"/>
          <w:sz w:val="28"/>
          <w:szCs w:val="28"/>
          <w:highlight w:val="none"/>
        </w:rPr>
        <w:t>4</w:t>
      </w:r>
      <w:r>
        <w:rPr>
          <w:rFonts w:ascii="宋体" w:hAnsi="宋体" w:cs="宋体"/>
          <w:color w:val="auto"/>
          <w:sz w:val="28"/>
          <w:szCs w:val="28"/>
          <w:highlight w:val="none"/>
          <w:lang w:val="zh-CN"/>
        </w:rPr>
        <w:t xml:space="preserve">.1 </w:t>
      </w:r>
      <w:r>
        <w:rPr>
          <w:rFonts w:hint="eastAsia" w:ascii="宋体" w:hAnsi="宋体" w:cs="宋体"/>
          <w:color w:val="auto"/>
          <w:sz w:val="28"/>
          <w:szCs w:val="28"/>
          <w:highlight w:val="none"/>
          <w:lang w:val="zh-CN"/>
        </w:rPr>
        <w:t>设计标准及规定</w:t>
      </w:r>
      <w:bookmarkEnd w:id="217"/>
    </w:p>
    <w:bookmarkEnd w:id="218"/>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《自动化仪表选型设计规范》</w:t>
      </w:r>
      <w:r>
        <w:rPr>
          <w:rFonts w:ascii="宋体" w:hAnsi="宋体" w:cs="宋体"/>
          <w:color w:val="auto"/>
          <w:sz w:val="28"/>
          <w:szCs w:val="28"/>
          <w:highlight w:val="none"/>
        </w:rPr>
        <w:t>HG/T 20507-2014</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《控制室设计规范》</w:t>
      </w:r>
      <w:r>
        <w:rPr>
          <w:rFonts w:ascii="宋体" w:hAnsi="宋体" w:cs="宋体"/>
          <w:color w:val="auto"/>
          <w:sz w:val="28"/>
          <w:szCs w:val="28"/>
          <w:highlight w:val="none"/>
        </w:rPr>
        <w:t>HG/T 20508-2014</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《分散型控制系统工程设计规范》</w:t>
      </w:r>
      <w:r>
        <w:rPr>
          <w:rFonts w:ascii="宋体" w:hAnsi="宋体" w:cs="宋体"/>
          <w:color w:val="auto"/>
          <w:sz w:val="28"/>
          <w:szCs w:val="28"/>
          <w:highlight w:val="none"/>
        </w:rPr>
        <w:t>HG/T 20573-2012</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《可编程控制器系统工程设计规范》</w:t>
      </w:r>
      <w:r>
        <w:rPr>
          <w:rFonts w:ascii="宋体" w:hAnsi="宋体" w:cs="宋体"/>
          <w:color w:val="auto"/>
          <w:sz w:val="28"/>
          <w:szCs w:val="28"/>
          <w:highlight w:val="none"/>
        </w:rPr>
        <w:t>HG/T 20700-2014</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《石油化工安全仪表系统设计规范》</w:t>
      </w:r>
      <w:r>
        <w:rPr>
          <w:rFonts w:ascii="宋体" w:hAnsi="宋体" w:cs="宋体"/>
          <w:color w:val="auto"/>
          <w:sz w:val="28"/>
          <w:szCs w:val="28"/>
          <w:highlight w:val="none"/>
        </w:rPr>
        <w:t>GB/T 50770-2013</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《爆炸危险环境电力装置设计规范》</w:t>
      </w:r>
      <w:r>
        <w:rPr>
          <w:rFonts w:ascii="宋体" w:hAnsi="宋体" w:cs="宋体"/>
          <w:color w:val="auto"/>
          <w:sz w:val="28"/>
          <w:szCs w:val="28"/>
          <w:highlight w:val="none"/>
        </w:rPr>
        <w:t>GB 50058-2014</w:t>
      </w:r>
    </w:p>
    <w:p>
      <w:pPr>
        <w:spacing w:line="560" w:lineRule="exact"/>
        <w:ind w:firstLine="560" w:firstLineChars="200"/>
        <w:rPr>
          <w:rFonts w:ascii="宋体" w:hAnsi="宋体" w:cs="宋体"/>
          <w:color w:val="auto"/>
          <w:sz w:val="28"/>
          <w:szCs w:val="28"/>
          <w:highlight w:val="none"/>
        </w:rPr>
      </w:pPr>
      <w:r>
        <w:rPr>
          <w:rFonts w:hint="eastAsia" w:ascii="宋体" w:hAnsi="宋体" w:cs="宋体"/>
          <w:color w:val="auto"/>
          <w:sz w:val="28"/>
          <w:szCs w:val="28"/>
          <w:highlight w:val="none"/>
        </w:rPr>
        <w:t>《石油化工可燃气体和有毒气体检测报警设计规范》</w:t>
      </w:r>
      <w:r>
        <w:rPr>
          <w:rFonts w:ascii="宋体" w:hAnsi="宋体" w:cs="宋体"/>
          <w:color w:val="auto"/>
          <w:sz w:val="28"/>
          <w:szCs w:val="28"/>
          <w:highlight w:val="none"/>
        </w:rPr>
        <w:t>GB/T50493-2019</w:t>
      </w:r>
    </w:p>
    <w:p>
      <w:pPr>
        <w:pStyle w:val="33"/>
        <w:spacing w:line="560" w:lineRule="exact"/>
        <w:ind w:firstLine="31680"/>
        <w:rPr>
          <w:rFonts w:ascii="宋体" w:cs="宋体"/>
          <w:color w:val="auto"/>
          <w:sz w:val="28"/>
          <w:szCs w:val="28"/>
          <w:highlight w:val="none"/>
        </w:rPr>
      </w:pPr>
      <w:bookmarkStart w:id="227" w:name="_Toc8787"/>
      <w:r>
        <w:rPr>
          <w:rFonts w:ascii="宋体" w:hAnsi="宋体" w:cs="宋体"/>
          <w:color w:val="auto"/>
          <w:sz w:val="28"/>
          <w:szCs w:val="28"/>
          <w:highlight w:val="none"/>
          <w:lang w:val="zh-CN"/>
        </w:rPr>
        <w:t>4.</w:t>
      </w:r>
      <w:r>
        <w:rPr>
          <w:rFonts w:ascii="宋体" w:hAnsi="宋体" w:cs="宋体"/>
          <w:color w:val="auto"/>
          <w:sz w:val="28"/>
          <w:szCs w:val="28"/>
          <w:highlight w:val="none"/>
        </w:rPr>
        <w:t>4</w:t>
      </w:r>
      <w:r>
        <w:rPr>
          <w:rFonts w:ascii="宋体" w:hAnsi="宋体" w:cs="宋体"/>
          <w:color w:val="auto"/>
          <w:sz w:val="28"/>
          <w:szCs w:val="28"/>
          <w:highlight w:val="none"/>
          <w:lang w:val="zh-CN"/>
        </w:rPr>
        <w:t xml:space="preserve">.2 </w:t>
      </w:r>
      <w:bookmarkEnd w:id="227"/>
      <w:r>
        <w:rPr>
          <w:rFonts w:hint="eastAsia" w:ascii="宋体" w:hAnsi="宋体" w:cs="宋体"/>
          <w:color w:val="auto"/>
          <w:sz w:val="28"/>
          <w:szCs w:val="28"/>
          <w:highlight w:val="none"/>
        </w:rPr>
        <w:t>自动控制</w:t>
      </w:r>
    </w:p>
    <w:p>
      <w:pPr>
        <w:pStyle w:val="39"/>
        <w:spacing w:line="560" w:lineRule="exact"/>
        <w:ind w:firstLine="31680"/>
        <w:rPr>
          <w:rFonts w:ascii="宋体" w:cs="宋体"/>
          <w:color w:val="auto"/>
          <w:spacing w:val="3"/>
          <w:sz w:val="28"/>
          <w:szCs w:val="28"/>
          <w:highlight w:val="none"/>
          <w:lang w:eastAsia="zh-CN"/>
        </w:rPr>
      </w:pPr>
      <w:r>
        <w:rPr>
          <w:rFonts w:hint="eastAsia" w:ascii="宋体" w:hAnsi="宋体" w:cs="宋体"/>
          <w:color w:val="auto"/>
          <w:spacing w:val="3"/>
          <w:sz w:val="28"/>
          <w:szCs w:val="28"/>
          <w:highlight w:val="none"/>
          <w:lang w:eastAsia="zh-CN"/>
        </w:rPr>
        <w:t>根据装置工艺生产过程的重要性、检测点和控制回路数量、全厂自动化水平要求和社会发展的情况，生产装置及配套公用工程和辅助设施过程控制系统设置情况为：</w:t>
      </w:r>
    </w:p>
    <w:p>
      <w:pPr>
        <w:pStyle w:val="39"/>
        <w:spacing w:line="560" w:lineRule="exact"/>
        <w:ind w:firstLine="31680"/>
        <w:rPr>
          <w:rFonts w:ascii="宋体" w:cs="宋体"/>
          <w:color w:val="auto"/>
          <w:spacing w:val="3"/>
          <w:sz w:val="28"/>
          <w:szCs w:val="28"/>
          <w:highlight w:val="none"/>
          <w:lang w:eastAsia="zh-CN"/>
        </w:rPr>
      </w:pPr>
      <w:r>
        <w:rPr>
          <w:rFonts w:ascii="宋体" w:hAnsi="宋体" w:cs="宋体"/>
          <w:color w:val="auto"/>
          <w:spacing w:val="3"/>
          <w:sz w:val="28"/>
          <w:szCs w:val="28"/>
          <w:highlight w:val="none"/>
          <w:lang w:eastAsia="zh-CN"/>
        </w:rPr>
        <w:t xml:space="preserve">(1) </w:t>
      </w:r>
      <w:r>
        <w:rPr>
          <w:rFonts w:hint="eastAsia" w:ascii="宋体" w:hAnsi="宋体" w:cs="宋体"/>
          <w:color w:val="auto"/>
          <w:spacing w:val="3"/>
          <w:sz w:val="28"/>
          <w:szCs w:val="28"/>
          <w:highlight w:val="none"/>
          <w:lang w:eastAsia="zh-CN"/>
        </w:rPr>
        <w:t>分散型控制系统（</w:t>
      </w:r>
      <w:r>
        <w:rPr>
          <w:rFonts w:ascii="宋体" w:hAnsi="宋体" w:cs="宋体"/>
          <w:color w:val="auto"/>
          <w:spacing w:val="3"/>
          <w:sz w:val="28"/>
          <w:szCs w:val="28"/>
          <w:highlight w:val="none"/>
          <w:lang w:eastAsia="zh-CN"/>
        </w:rPr>
        <w:t>DCS</w:t>
      </w:r>
      <w:r>
        <w:rPr>
          <w:rFonts w:hint="eastAsia" w:ascii="宋体" w:hAnsi="宋体" w:cs="宋体"/>
          <w:color w:val="auto"/>
          <w:spacing w:val="3"/>
          <w:sz w:val="28"/>
          <w:szCs w:val="28"/>
          <w:highlight w:val="none"/>
          <w:lang w:eastAsia="zh-CN"/>
        </w:rPr>
        <w:t>）</w:t>
      </w:r>
    </w:p>
    <w:p>
      <w:pPr>
        <w:pStyle w:val="39"/>
        <w:spacing w:line="560" w:lineRule="exact"/>
        <w:ind w:firstLine="31680"/>
        <w:rPr>
          <w:rFonts w:ascii="宋体" w:cs="宋体"/>
          <w:color w:val="auto"/>
          <w:spacing w:val="3"/>
          <w:sz w:val="28"/>
          <w:szCs w:val="28"/>
          <w:highlight w:val="none"/>
          <w:lang w:eastAsia="zh-CN"/>
        </w:rPr>
      </w:pPr>
      <w:r>
        <w:rPr>
          <w:rFonts w:hint="eastAsia" w:ascii="宋体" w:hAnsi="宋体" w:cs="宋体"/>
          <w:color w:val="auto"/>
          <w:spacing w:val="3"/>
          <w:sz w:val="28"/>
          <w:szCs w:val="28"/>
          <w:highlight w:val="none"/>
          <w:lang w:eastAsia="zh-CN"/>
        </w:rPr>
        <w:t>采用分散型控制系统（</w:t>
      </w:r>
      <w:r>
        <w:rPr>
          <w:rFonts w:ascii="宋体" w:hAnsi="宋体" w:cs="宋体"/>
          <w:color w:val="auto"/>
          <w:spacing w:val="3"/>
          <w:sz w:val="28"/>
          <w:szCs w:val="28"/>
          <w:highlight w:val="none"/>
          <w:lang w:eastAsia="zh-CN"/>
        </w:rPr>
        <w:t>DCS</w:t>
      </w:r>
      <w:r>
        <w:rPr>
          <w:rFonts w:hint="eastAsia" w:ascii="宋体" w:hAnsi="宋体" w:cs="宋体"/>
          <w:color w:val="auto"/>
          <w:spacing w:val="3"/>
          <w:sz w:val="28"/>
          <w:szCs w:val="28"/>
          <w:highlight w:val="none"/>
          <w:lang w:eastAsia="zh-CN"/>
        </w:rPr>
        <w:t>）对各装置及其配套的公用工程装置的生产实施过程检测、数据处理、过程控制、能量平衡核算、计量管理、用电设备状态显示等，以提高全厂自动化水平、减轻劳动强度，降低生产成本。</w:t>
      </w:r>
    </w:p>
    <w:p>
      <w:pPr>
        <w:pStyle w:val="39"/>
        <w:spacing w:line="560" w:lineRule="exact"/>
        <w:ind w:firstLine="31680"/>
        <w:rPr>
          <w:rFonts w:ascii="宋体" w:cs="宋体"/>
          <w:color w:val="auto"/>
          <w:spacing w:val="3"/>
          <w:sz w:val="28"/>
          <w:szCs w:val="28"/>
          <w:highlight w:val="none"/>
          <w:lang w:eastAsia="zh-CN"/>
        </w:rPr>
      </w:pPr>
      <w:r>
        <w:rPr>
          <w:rFonts w:ascii="宋体" w:hAnsi="宋体" w:cs="宋体"/>
          <w:color w:val="auto"/>
          <w:spacing w:val="3"/>
          <w:sz w:val="28"/>
          <w:szCs w:val="28"/>
          <w:highlight w:val="none"/>
          <w:lang w:eastAsia="zh-CN"/>
        </w:rPr>
        <w:t>DCS</w:t>
      </w:r>
      <w:r>
        <w:rPr>
          <w:rFonts w:hint="eastAsia" w:ascii="宋体" w:hAnsi="宋体" w:cs="宋体"/>
          <w:color w:val="auto"/>
          <w:spacing w:val="3"/>
          <w:sz w:val="28"/>
          <w:szCs w:val="28"/>
          <w:highlight w:val="none"/>
          <w:lang w:eastAsia="zh-CN"/>
        </w:rPr>
        <w:t>控制系统是集成的、标准化、先进的过程控制和生产管理系统，是具有运行经验、成熟可靠的系统。所提供的通信系统属国际公认的开放式通讯系统。采用冗余或容错的高速通讯网络</w:t>
      </w:r>
      <w:r>
        <w:rPr>
          <w:rFonts w:ascii="宋体" w:cs="宋体"/>
          <w:color w:val="auto"/>
          <w:spacing w:val="3"/>
          <w:sz w:val="28"/>
          <w:szCs w:val="28"/>
          <w:highlight w:val="none"/>
          <w:lang w:eastAsia="zh-CN"/>
        </w:rPr>
        <w:t>,</w:t>
      </w:r>
      <w:r>
        <w:rPr>
          <w:rFonts w:hint="eastAsia" w:ascii="宋体" w:hAnsi="宋体" w:cs="宋体"/>
          <w:color w:val="auto"/>
          <w:spacing w:val="3"/>
          <w:sz w:val="28"/>
          <w:szCs w:val="28"/>
          <w:highlight w:val="none"/>
          <w:lang w:eastAsia="zh-CN"/>
        </w:rPr>
        <w:t>过程控制级至少为</w:t>
      </w:r>
      <w:r>
        <w:rPr>
          <w:rFonts w:ascii="宋体" w:hAnsi="宋体" w:cs="宋体"/>
          <w:color w:val="auto"/>
          <w:spacing w:val="3"/>
          <w:sz w:val="28"/>
          <w:szCs w:val="28"/>
          <w:highlight w:val="none"/>
          <w:lang w:eastAsia="zh-CN"/>
        </w:rPr>
        <w:t>10Mb/s</w:t>
      </w:r>
      <w:r>
        <w:rPr>
          <w:rFonts w:hint="eastAsia" w:ascii="宋体" w:hAnsi="宋体" w:cs="宋体"/>
          <w:color w:val="auto"/>
          <w:spacing w:val="3"/>
          <w:sz w:val="28"/>
          <w:szCs w:val="28"/>
          <w:highlight w:val="none"/>
          <w:lang w:eastAsia="zh-CN"/>
        </w:rPr>
        <w:t>，监控级与管理级至少为</w:t>
      </w:r>
      <w:r>
        <w:rPr>
          <w:rFonts w:ascii="宋体" w:hAnsi="宋体" w:cs="宋体"/>
          <w:color w:val="auto"/>
          <w:spacing w:val="3"/>
          <w:sz w:val="28"/>
          <w:szCs w:val="28"/>
          <w:highlight w:val="none"/>
          <w:lang w:eastAsia="zh-CN"/>
        </w:rPr>
        <w:t>100 Mb/s</w:t>
      </w:r>
      <w:r>
        <w:rPr>
          <w:rFonts w:hint="eastAsia" w:ascii="宋体" w:hAnsi="宋体" w:cs="宋体"/>
          <w:color w:val="auto"/>
          <w:spacing w:val="3"/>
          <w:sz w:val="28"/>
          <w:szCs w:val="28"/>
          <w:highlight w:val="none"/>
          <w:lang w:eastAsia="zh-CN"/>
        </w:rPr>
        <w:t>。</w:t>
      </w:r>
    </w:p>
    <w:p>
      <w:pPr>
        <w:pStyle w:val="39"/>
        <w:spacing w:line="560" w:lineRule="exact"/>
        <w:ind w:firstLine="31680"/>
        <w:rPr>
          <w:rFonts w:ascii="宋体" w:cs="宋体"/>
          <w:color w:val="auto"/>
          <w:spacing w:val="3"/>
          <w:sz w:val="28"/>
          <w:szCs w:val="28"/>
          <w:highlight w:val="none"/>
          <w:lang w:eastAsia="zh-CN"/>
        </w:rPr>
      </w:pPr>
      <w:r>
        <w:rPr>
          <w:rFonts w:ascii="宋体" w:hAnsi="宋体" w:cs="宋体"/>
          <w:color w:val="auto"/>
          <w:spacing w:val="3"/>
          <w:sz w:val="28"/>
          <w:szCs w:val="28"/>
          <w:highlight w:val="none"/>
          <w:lang w:eastAsia="zh-CN"/>
        </w:rPr>
        <w:t>DCS</w:t>
      </w:r>
      <w:r>
        <w:rPr>
          <w:rFonts w:hint="eastAsia" w:ascii="宋体" w:hAnsi="宋体" w:cs="宋体"/>
          <w:color w:val="auto"/>
          <w:spacing w:val="3"/>
          <w:sz w:val="28"/>
          <w:szCs w:val="28"/>
          <w:highlight w:val="none"/>
          <w:lang w:eastAsia="zh-CN"/>
        </w:rPr>
        <w:t>控制系统具有过程控制（连续控制和离散控制）、操作、显示记录、报警、制表打印、信息管理、系统组态以及自诊断等基本功能。</w:t>
      </w:r>
    </w:p>
    <w:p>
      <w:pPr>
        <w:pStyle w:val="39"/>
        <w:spacing w:line="560" w:lineRule="exact"/>
        <w:ind w:firstLine="31680"/>
        <w:rPr>
          <w:rFonts w:ascii="宋体" w:cs="宋体"/>
          <w:color w:val="auto"/>
          <w:spacing w:val="3"/>
          <w:sz w:val="28"/>
          <w:szCs w:val="28"/>
          <w:highlight w:val="none"/>
          <w:lang w:eastAsia="zh-CN"/>
        </w:rPr>
      </w:pPr>
      <w:r>
        <w:rPr>
          <w:rFonts w:hint="eastAsia" w:ascii="宋体" w:hAnsi="宋体" w:cs="宋体"/>
          <w:color w:val="auto"/>
          <w:spacing w:val="3"/>
          <w:sz w:val="28"/>
          <w:szCs w:val="28"/>
          <w:highlight w:val="none"/>
          <w:lang w:eastAsia="zh-CN"/>
        </w:rPr>
        <w:t>操作站及工程师站均带液晶显示器</w:t>
      </w:r>
      <w:r>
        <w:rPr>
          <w:rFonts w:ascii="宋体" w:cs="宋体"/>
          <w:color w:val="auto"/>
          <w:spacing w:val="3"/>
          <w:sz w:val="28"/>
          <w:szCs w:val="28"/>
          <w:highlight w:val="none"/>
          <w:lang w:eastAsia="zh-CN"/>
        </w:rPr>
        <w:t>,</w:t>
      </w:r>
      <w:r>
        <w:rPr>
          <w:rFonts w:hint="eastAsia" w:ascii="宋体" w:hAnsi="宋体" w:cs="宋体"/>
          <w:color w:val="auto"/>
          <w:spacing w:val="3"/>
          <w:sz w:val="28"/>
          <w:szCs w:val="28"/>
          <w:highlight w:val="none"/>
          <w:lang w:eastAsia="zh-CN"/>
        </w:rPr>
        <w:t>硬件配置采用当前主流产品。</w:t>
      </w:r>
    </w:p>
    <w:p>
      <w:pPr>
        <w:pStyle w:val="39"/>
        <w:spacing w:line="560" w:lineRule="exact"/>
        <w:ind w:firstLine="31680"/>
        <w:rPr>
          <w:rFonts w:ascii="宋体" w:cs="宋体"/>
          <w:color w:val="auto"/>
          <w:spacing w:val="3"/>
          <w:sz w:val="28"/>
          <w:szCs w:val="28"/>
          <w:highlight w:val="none"/>
          <w:lang w:eastAsia="zh-CN"/>
        </w:rPr>
      </w:pPr>
      <w:r>
        <w:rPr>
          <w:rFonts w:ascii="宋体" w:hAnsi="宋体" w:cs="宋体"/>
          <w:color w:val="auto"/>
          <w:spacing w:val="3"/>
          <w:sz w:val="28"/>
          <w:szCs w:val="28"/>
          <w:highlight w:val="none"/>
          <w:lang w:eastAsia="zh-CN"/>
        </w:rPr>
        <w:t>DCS</w:t>
      </w:r>
      <w:r>
        <w:rPr>
          <w:rFonts w:hint="eastAsia" w:ascii="宋体" w:hAnsi="宋体" w:cs="宋体"/>
          <w:color w:val="auto"/>
          <w:spacing w:val="3"/>
          <w:sz w:val="28"/>
          <w:szCs w:val="28"/>
          <w:highlight w:val="none"/>
          <w:lang w:eastAsia="zh-CN"/>
        </w:rPr>
        <w:t>通讯系统、电源系统和控制器均为</w:t>
      </w:r>
      <w:r>
        <w:rPr>
          <w:rFonts w:ascii="宋体" w:hAnsi="宋体" w:cs="宋体"/>
          <w:color w:val="auto"/>
          <w:spacing w:val="3"/>
          <w:sz w:val="28"/>
          <w:szCs w:val="28"/>
          <w:highlight w:val="none"/>
          <w:lang w:eastAsia="zh-CN"/>
        </w:rPr>
        <w:t>1:1</w:t>
      </w:r>
      <w:r>
        <w:rPr>
          <w:rFonts w:hint="eastAsia" w:ascii="宋体" w:hAnsi="宋体" w:cs="宋体"/>
          <w:color w:val="auto"/>
          <w:spacing w:val="3"/>
          <w:sz w:val="28"/>
          <w:szCs w:val="28"/>
          <w:highlight w:val="none"/>
          <w:lang w:eastAsia="zh-CN"/>
        </w:rPr>
        <w:t>冗余，控制回路和操作联锁回路的</w:t>
      </w:r>
      <w:r>
        <w:rPr>
          <w:rFonts w:ascii="宋体" w:hAnsi="宋体" w:cs="宋体"/>
          <w:color w:val="auto"/>
          <w:spacing w:val="3"/>
          <w:sz w:val="28"/>
          <w:szCs w:val="28"/>
          <w:highlight w:val="none"/>
          <w:lang w:eastAsia="zh-CN"/>
        </w:rPr>
        <w:t>I/O</w:t>
      </w:r>
      <w:r>
        <w:rPr>
          <w:rFonts w:hint="eastAsia" w:ascii="宋体" w:hAnsi="宋体" w:cs="宋体"/>
          <w:color w:val="auto"/>
          <w:spacing w:val="3"/>
          <w:sz w:val="28"/>
          <w:szCs w:val="28"/>
          <w:highlight w:val="none"/>
          <w:lang w:eastAsia="zh-CN"/>
        </w:rPr>
        <w:t>卡件</w:t>
      </w:r>
      <w:r>
        <w:rPr>
          <w:rFonts w:ascii="宋体" w:hAnsi="宋体" w:cs="宋体"/>
          <w:color w:val="auto"/>
          <w:spacing w:val="3"/>
          <w:sz w:val="28"/>
          <w:szCs w:val="28"/>
          <w:highlight w:val="none"/>
          <w:lang w:eastAsia="zh-CN"/>
        </w:rPr>
        <w:t>1:1</w:t>
      </w:r>
      <w:r>
        <w:rPr>
          <w:rFonts w:hint="eastAsia" w:ascii="宋体" w:hAnsi="宋体" w:cs="宋体"/>
          <w:color w:val="auto"/>
          <w:spacing w:val="3"/>
          <w:sz w:val="28"/>
          <w:szCs w:val="28"/>
          <w:highlight w:val="none"/>
          <w:lang w:eastAsia="zh-CN"/>
        </w:rPr>
        <w:t>冗余配置。</w:t>
      </w:r>
    </w:p>
    <w:p>
      <w:pPr>
        <w:pStyle w:val="39"/>
        <w:spacing w:line="560" w:lineRule="exact"/>
        <w:ind w:firstLine="31680"/>
        <w:rPr>
          <w:rFonts w:ascii="宋体" w:cs="宋体"/>
          <w:color w:val="auto"/>
          <w:spacing w:val="3"/>
          <w:sz w:val="28"/>
          <w:szCs w:val="28"/>
          <w:highlight w:val="none"/>
          <w:lang w:eastAsia="zh-CN"/>
        </w:rPr>
      </w:pPr>
      <w:r>
        <w:rPr>
          <w:rFonts w:hint="eastAsia" w:ascii="宋体" w:hAnsi="宋体" w:cs="宋体"/>
          <w:color w:val="auto"/>
          <w:spacing w:val="3"/>
          <w:sz w:val="28"/>
          <w:szCs w:val="28"/>
          <w:highlight w:val="none"/>
          <w:lang w:eastAsia="zh-CN"/>
        </w:rPr>
        <w:t>控制站的负荷不应超过</w:t>
      </w:r>
      <w:r>
        <w:rPr>
          <w:rFonts w:ascii="宋体" w:hAnsi="宋体" w:cs="宋体"/>
          <w:color w:val="auto"/>
          <w:spacing w:val="3"/>
          <w:sz w:val="28"/>
          <w:szCs w:val="28"/>
          <w:highlight w:val="none"/>
          <w:lang w:eastAsia="zh-CN"/>
        </w:rPr>
        <w:t>60%</w:t>
      </w:r>
      <w:r>
        <w:rPr>
          <w:rFonts w:hint="eastAsia" w:ascii="宋体" w:hAnsi="宋体" w:cs="宋体"/>
          <w:color w:val="auto"/>
          <w:spacing w:val="3"/>
          <w:sz w:val="28"/>
          <w:szCs w:val="28"/>
          <w:highlight w:val="none"/>
          <w:lang w:eastAsia="zh-CN"/>
        </w:rPr>
        <w:t>。</w:t>
      </w:r>
    </w:p>
    <w:p>
      <w:pPr>
        <w:pStyle w:val="39"/>
        <w:spacing w:line="560" w:lineRule="exact"/>
        <w:ind w:firstLine="31680"/>
        <w:rPr>
          <w:rFonts w:ascii="宋体" w:cs="宋体"/>
          <w:color w:val="auto"/>
          <w:spacing w:val="3"/>
          <w:sz w:val="28"/>
          <w:szCs w:val="28"/>
          <w:highlight w:val="none"/>
          <w:lang w:eastAsia="zh-CN"/>
        </w:rPr>
      </w:pPr>
      <w:r>
        <w:rPr>
          <w:rFonts w:hint="eastAsia" w:ascii="宋体" w:hAnsi="宋体" w:cs="宋体"/>
          <w:color w:val="auto"/>
          <w:spacing w:val="3"/>
          <w:sz w:val="28"/>
          <w:szCs w:val="28"/>
          <w:highlight w:val="none"/>
          <w:lang w:eastAsia="zh-CN"/>
        </w:rPr>
        <w:t>各类控制、检测点备用点数不少于实际设计点数的</w:t>
      </w:r>
      <w:r>
        <w:rPr>
          <w:rFonts w:ascii="宋体" w:hAnsi="宋体" w:cs="宋体"/>
          <w:color w:val="auto"/>
          <w:spacing w:val="3"/>
          <w:sz w:val="28"/>
          <w:szCs w:val="28"/>
          <w:highlight w:val="none"/>
          <w:lang w:eastAsia="zh-CN"/>
        </w:rPr>
        <w:t>15%</w:t>
      </w:r>
      <w:r>
        <w:rPr>
          <w:rFonts w:hint="eastAsia" w:ascii="宋体" w:hAnsi="宋体" w:cs="宋体"/>
          <w:color w:val="auto"/>
          <w:spacing w:val="3"/>
          <w:sz w:val="28"/>
          <w:szCs w:val="28"/>
          <w:highlight w:val="none"/>
          <w:lang w:eastAsia="zh-CN"/>
        </w:rPr>
        <w:t>，</w:t>
      </w:r>
      <w:r>
        <w:rPr>
          <w:rFonts w:ascii="宋体" w:hAnsi="宋体" w:cs="宋体"/>
          <w:color w:val="auto"/>
          <w:spacing w:val="3"/>
          <w:sz w:val="28"/>
          <w:szCs w:val="28"/>
          <w:highlight w:val="none"/>
          <w:lang w:eastAsia="zh-CN"/>
        </w:rPr>
        <w:t>I/O</w:t>
      </w:r>
      <w:r>
        <w:rPr>
          <w:rFonts w:hint="eastAsia" w:ascii="宋体" w:hAnsi="宋体" w:cs="宋体"/>
          <w:color w:val="auto"/>
          <w:spacing w:val="3"/>
          <w:sz w:val="28"/>
          <w:szCs w:val="28"/>
          <w:highlight w:val="none"/>
          <w:lang w:eastAsia="zh-CN"/>
        </w:rPr>
        <w:t>输入输出模件及槽位的备用空间不少于</w:t>
      </w:r>
      <w:r>
        <w:rPr>
          <w:rFonts w:ascii="宋体" w:hAnsi="宋体" w:cs="宋体"/>
          <w:color w:val="auto"/>
          <w:spacing w:val="3"/>
          <w:sz w:val="28"/>
          <w:szCs w:val="28"/>
          <w:highlight w:val="none"/>
          <w:lang w:eastAsia="zh-CN"/>
        </w:rPr>
        <w:t>15%</w:t>
      </w:r>
      <w:r>
        <w:rPr>
          <w:rFonts w:hint="eastAsia" w:ascii="宋体" w:hAnsi="宋体" w:cs="宋体"/>
          <w:color w:val="auto"/>
          <w:spacing w:val="3"/>
          <w:sz w:val="28"/>
          <w:szCs w:val="28"/>
          <w:highlight w:val="none"/>
          <w:lang w:eastAsia="zh-CN"/>
        </w:rPr>
        <w:t>。各类机柜留有</w:t>
      </w:r>
      <w:r>
        <w:rPr>
          <w:rFonts w:ascii="宋体" w:hAnsi="宋体" w:cs="宋体"/>
          <w:color w:val="auto"/>
          <w:spacing w:val="3"/>
          <w:sz w:val="28"/>
          <w:szCs w:val="28"/>
          <w:highlight w:val="none"/>
          <w:lang w:eastAsia="zh-CN"/>
        </w:rPr>
        <w:t>15%</w:t>
      </w:r>
      <w:r>
        <w:rPr>
          <w:rFonts w:hint="eastAsia" w:ascii="宋体" w:hAnsi="宋体" w:cs="宋体"/>
          <w:color w:val="auto"/>
          <w:spacing w:val="3"/>
          <w:sz w:val="28"/>
          <w:szCs w:val="28"/>
          <w:highlight w:val="none"/>
          <w:lang w:eastAsia="zh-CN"/>
        </w:rPr>
        <w:t>的备用空间。</w:t>
      </w:r>
    </w:p>
    <w:p>
      <w:pPr>
        <w:pStyle w:val="39"/>
        <w:spacing w:line="560" w:lineRule="exact"/>
        <w:ind w:firstLine="31680"/>
        <w:rPr>
          <w:rFonts w:ascii="宋体" w:cs="宋体"/>
          <w:color w:val="auto"/>
          <w:spacing w:val="3"/>
          <w:sz w:val="28"/>
          <w:szCs w:val="28"/>
          <w:highlight w:val="none"/>
          <w:lang w:eastAsia="zh-CN"/>
        </w:rPr>
      </w:pPr>
      <w:r>
        <w:rPr>
          <w:rFonts w:ascii="宋体" w:hAnsi="宋体" w:cs="宋体"/>
          <w:color w:val="auto"/>
          <w:spacing w:val="3"/>
          <w:sz w:val="28"/>
          <w:szCs w:val="28"/>
          <w:highlight w:val="none"/>
          <w:lang w:eastAsia="zh-CN"/>
        </w:rPr>
        <w:t>DCS</w:t>
      </w:r>
      <w:r>
        <w:rPr>
          <w:rFonts w:hint="eastAsia" w:ascii="宋体" w:hAnsi="宋体" w:cs="宋体"/>
          <w:color w:val="auto"/>
          <w:spacing w:val="3"/>
          <w:sz w:val="28"/>
          <w:szCs w:val="28"/>
          <w:highlight w:val="none"/>
          <w:lang w:eastAsia="zh-CN"/>
        </w:rPr>
        <w:t>控制系统具有与上位机或其它控制系统（</w:t>
      </w:r>
      <w:r>
        <w:rPr>
          <w:rFonts w:ascii="宋体" w:hAnsi="宋体" w:cs="宋体"/>
          <w:color w:val="auto"/>
          <w:spacing w:val="3"/>
          <w:sz w:val="28"/>
          <w:szCs w:val="28"/>
          <w:highlight w:val="none"/>
          <w:lang w:eastAsia="zh-CN"/>
        </w:rPr>
        <w:t>SIS</w:t>
      </w:r>
      <w:r>
        <w:rPr>
          <w:rFonts w:hint="eastAsia" w:ascii="宋体" w:hAnsi="宋体" w:cs="宋体"/>
          <w:color w:val="auto"/>
          <w:spacing w:val="3"/>
          <w:sz w:val="28"/>
          <w:szCs w:val="28"/>
          <w:highlight w:val="none"/>
          <w:lang w:eastAsia="zh-CN"/>
        </w:rPr>
        <w:t>等）通讯的功能；带</w:t>
      </w:r>
      <w:r>
        <w:rPr>
          <w:rFonts w:ascii="宋体" w:hAnsi="宋体" w:cs="宋体"/>
          <w:color w:val="auto"/>
          <w:spacing w:val="3"/>
          <w:sz w:val="28"/>
          <w:szCs w:val="28"/>
          <w:highlight w:val="none"/>
          <w:lang w:eastAsia="zh-CN"/>
        </w:rPr>
        <w:t>OPC</w:t>
      </w:r>
      <w:r>
        <w:rPr>
          <w:rFonts w:hint="eastAsia" w:ascii="宋体" w:hAnsi="宋体" w:cs="宋体"/>
          <w:color w:val="auto"/>
          <w:spacing w:val="3"/>
          <w:sz w:val="28"/>
          <w:szCs w:val="28"/>
          <w:highlight w:val="none"/>
          <w:lang w:eastAsia="zh-CN"/>
        </w:rPr>
        <w:t>数据访问接口。</w:t>
      </w:r>
    </w:p>
    <w:p>
      <w:pPr>
        <w:pStyle w:val="39"/>
        <w:spacing w:line="560" w:lineRule="exact"/>
        <w:ind w:firstLine="31680"/>
        <w:rPr>
          <w:rFonts w:ascii="宋体" w:cs="宋体"/>
          <w:color w:val="auto"/>
          <w:spacing w:val="3"/>
          <w:sz w:val="28"/>
          <w:szCs w:val="28"/>
          <w:highlight w:val="none"/>
          <w:lang w:eastAsia="zh-CN"/>
        </w:rPr>
      </w:pPr>
      <w:r>
        <w:rPr>
          <w:rFonts w:ascii="宋体" w:hAnsi="宋体" w:cs="宋体"/>
          <w:color w:val="auto"/>
          <w:spacing w:val="3"/>
          <w:sz w:val="28"/>
          <w:szCs w:val="28"/>
          <w:highlight w:val="none"/>
          <w:lang w:eastAsia="zh-CN"/>
        </w:rPr>
        <w:t>DCS</w:t>
      </w:r>
      <w:r>
        <w:rPr>
          <w:rFonts w:hint="eastAsia" w:ascii="宋体" w:hAnsi="宋体" w:cs="宋体"/>
          <w:color w:val="auto"/>
          <w:spacing w:val="3"/>
          <w:sz w:val="28"/>
          <w:szCs w:val="28"/>
          <w:highlight w:val="none"/>
          <w:lang w:eastAsia="zh-CN"/>
        </w:rPr>
        <w:t>控制系统配置操作站、工程师站、打印机、操作台等。</w:t>
      </w:r>
    </w:p>
    <w:p>
      <w:pPr>
        <w:pStyle w:val="39"/>
        <w:spacing w:line="560" w:lineRule="exact"/>
        <w:ind w:firstLine="31680"/>
        <w:rPr>
          <w:rFonts w:ascii="宋体" w:cs="宋体"/>
          <w:color w:val="auto"/>
          <w:spacing w:val="3"/>
          <w:sz w:val="28"/>
          <w:szCs w:val="28"/>
          <w:highlight w:val="none"/>
          <w:lang w:eastAsia="zh-CN"/>
        </w:rPr>
      </w:pPr>
      <w:r>
        <w:rPr>
          <w:rFonts w:ascii="宋体" w:hAnsi="宋体" w:cs="宋体"/>
          <w:color w:val="auto"/>
          <w:spacing w:val="3"/>
          <w:sz w:val="28"/>
          <w:szCs w:val="28"/>
          <w:highlight w:val="none"/>
          <w:lang w:eastAsia="zh-CN"/>
        </w:rPr>
        <w:t>DCS</w:t>
      </w:r>
      <w:r>
        <w:rPr>
          <w:rFonts w:hint="eastAsia" w:ascii="宋体" w:hAnsi="宋体" w:cs="宋体"/>
          <w:color w:val="auto"/>
          <w:spacing w:val="3"/>
          <w:sz w:val="28"/>
          <w:szCs w:val="28"/>
          <w:highlight w:val="none"/>
          <w:lang w:eastAsia="zh-CN"/>
        </w:rPr>
        <w:t>控制系统所配置的软件应包括满足过程监控所必需的过程控制软件、过程检测软件和操作软件。</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w:t>
      </w:r>
      <w:r>
        <w:rPr>
          <w:rFonts w:ascii="宋体" w:hAnsi="宋体" w:cs="宋体"/>
          <w:color w:val="auto"/>
          <w:sz w:val="28"/>
          <w:szCs w:val="28"/>
          <w:highlight w:val="none"/>
        </w:rPr>
        <w:t>2</w:t>
      </w:r>
      <w:r>
        <w:rPr>
          <w:rFonts w:hint="eastAsia" w:ascii="宋体" w:hAnsi="宋体" w:cs="宋体"/>
          <w:color w:val="auto"/>
          <w:sz w:val="28"/>
          <w:szCs w:val="28"/>
          <w:highlight w:val="none"/>
          <w:lang w:val="zh-CN"/>
        </w:rPr>
        <w:t>）</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可燃气体</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有毒气体检测（</w:t>
      </w:r>
      <w:r>
        <w:rPr>
          <w:rFonts w:ascii="宋体" w:hAnsi="宋体" w:cs="宋体"/>
          <w:color w:val="auto"/>
          <w:sz w:val="28"/>
          <w:szCs w:val="28"/>
          <w:highlight w:val="none"/>
          <w:lang w:val="zh-CN"/>
        </w:rPr>
        <w:t>GDS</w:t>
      </w:r>
      <w:r>
        <w:rPr>
          <w:rFonts w:hint="eastAsia" w:ascii="宋体" w:hAnsi="宋体" w:cs="宋体"/>
          <w:color w:val="auto"/>
          <w:sz w:val="28"/>
          <w:szCs w:val="28"/>
          <w:highlight w:val="none"/>
          <w:lang w:val="zh-CN"/>
        </w:rPr>
        <w:t>）</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生产装置、公用工程及辅助设施内可能泄漏或聚集可燃、有毒气体的地方，</w:t>
      </w:r>
      <w:r>
        <w:rPr>
          <w:rFonts w:hint="eastAsia" w:ascii="宋体" w:hAnsi="宋体" w:cs="宋体"/>
          <w:color w:val="auto"/>
          <w:sz w:val="28"/>
          <w:szCs w:val="28"/>
          <w:highlight w:val="none"/>
        </w:rPr>
        <w:t>设置</w:t>
      </w:r>
      <w:r>
        <w:rPr>
          <w:rFonts w:hint="eastAsia" w:ascii="宋体" w:hAnsi="宋体" w:cs="宋体"/>
          <w:color w:val="auto"/>
          <w:sz w:val="28"/>
          <w:szCs w:val="28"/>
          <w:highlight w:val="none"/>
          <w:lang w:val="zh-CN"/>
        </w:rPr>
        <w:t>可燃有毒气体检测器，并将信号接至</w:t>
      </w:r>
      <w:r>
        <w:rPr>
          <w:rFonts w:ascii="宋体" w:hAnsi="宋体" w:cs="宋体"/>
          <w:color w:val="auto"/>
          <w:sz w:val="28"/>
          <w:szCs w:val="28"/>
          <w:highlight w:val="none"/>
          <w:lang w:val="zh-CN"/>
        </w:rPr>
        <w:t>DCS</w:t>
      </w:r>
      <w:r>
        <w:rPr>
          <w:rFonts w:hint="eastAsia" w:ascii="宋体" w:hAnsi="宋体" w:cs="宋体"/>
          <w:color w:val="auto"/>
          <w:sz w:val="28"/>
          <w:szCs w:val="28"/>
          <w:highlight w:val="none"/>
          <w:lang w:val="zh-CN"/>
        </w:rPr>
        <w:t>系统的单独</w:t>
      </w:r>
      <w:r>
        <w:rPr>
          <w:rFonts w:ascii="宋体" w:hAnsi="宋体" w:cs="宋体"/>
          <w:color w:val="auto"/>
          <w:sz w:val="28"/>
          <w:szCs w:val="28"/>
          <w:highlight w:val="none"/>
          <w:lang w:val="zh-CN"/>
        </w:rPr>
        <w:t>I/O</w:t>
      </w:r>
      <w:r>
        <w:rPr>
          <w:rFonts w:hint="eastAsia" w:ascii="宋体" w:hAnsi="宋体" w:cs="宋体"/>
          <w:color w:val="auto"/>
          <w:sz w:val="28"/>
          <w:szCs w:val="28"/>
          <w:highlight w:val="none"/>
          <w:lang w:val="zh-CN"/>
        </w:rPr>
        <w:t>卡笼，在中央控制室的</w:t>
      </w:r>
      <w:r>
        <w:rPr>
          <w:rFonts w:ascii="宋体" w:hAnsi="宋体" w:cs="宋体"/>
          <w:color w:val="auto"/>
          <w:sz w:val="28"/>
          <w:szCs w:val="28"/>
          <w:highlight w:val="none"/>
          <w:lang w:val="zh-CN"/>
        </w:rPr>
        <w:t>DCS</w:t>
      </w:r>
      <w:r>
        <w:rPr>
          <w:rFonts w:hint="eastAsia" w:ascii="宋体" w:hAnsi="宋体" w:cs="宋体"/>
          <w:color w:val="auto"/>
          <w:sz w:val="28"/>
          <w:szCs w:val="28"/>
          <w:highlight w:val="none"/>
          <w:lang w:val="zh-CN"/>
        </w:rPr>
        <w:t>系统的操作站（</w:t>
      </w:r>
      <w:r>
        <w:rPr>
          <w:rFonts w:ascii="宋体" w:hAnsi="宋体" w:cs="宋体"/>
          <w:color w:val="auto"/>
          <w:sz w:val="28"/>
          <w:szCs w:val="28"/>
          <w:highlight w:val="none"/>
          <w:lang w:val="zh-CN"/>
        </w:rPr>
        <w:t>LCD</w:t>
      </w:r>
      <w:r>
        <w:rPr>
          <w:rFonts w:hint="eastAsia" w:ascii="宋体" w:hAnsi="宋体" w:cs="宋体"/>
          <w:color w:val="auto"/>
          <w:sz w:val="28"/>
          <w:szCs w:val="28"/>
          <w:highlight w:val="none"/>
          <w:lang w:val="zh-CN"/>
        </w:rPr>
        <w:t>）上显示报警。</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本项目设置有毒气体检测器（氯气），分别布置在</w:t>
      </w:r>
      <w:r>
        <w:rPr>
          <w:rFonts w:hint="eastAsia" w:ascii="宋体" w:hAnsi="宋体" w:cs="宋体"/>
          <w:color w:val="auto"/>
          <w:sz w:val="28"/>
          <w:szCs w:val="28"/>
          <w:highlight w:val="none"/>
          <w:lang w:val="en-US" w:eastAsia="zh-CN"/>
        </w:rPr>
        <w:t>次氯酸钠</w:t>
      </w:r>
      <w:r>
        <w:rPr>
          <w:rFonts w:hint="eastAsia" w:ascii="宋体" w:hAnsi="宋体" w:cs="宋体"/>
          <w:color w:val="auto"/>
          <w:sz w:val="28"/>
          <w:szCs w:val="28"/>
          <w:highlight w:val="none"/>
        </w:rPr>
        <w:t>生产装置各层的设备旁，有效半径4米，安装高度</w:t>
      </w:r>
      <w:r>
        <w:rPr>
          <w:rFonts w:ascii="宋体" w:hAnsi="宋体" w:cs="宋体"/>
          <w:color w:val="auto"/>
          <w:sz w:val="28"/>
          <w:szCs w:val="28"/>
          <w:highlight w:val="none"/>
        </w:rPr>
        <w:t>0.3-0.6</w:t>
      </w:r>
      <w:r>
        <w:rPr>
          <w:rFonts w:hint="eastAsia" w:ascii="宋体" w:hAnsi="宋体" w:cs="宋体"/>
          <w:color w:val="auto"/>
          <w:sz w:val="28"/>
          <w:szCs w:val="28"/>
          <w:highlight w:val="none"/>
        </w:rPr>
        <w:t>米，有毒气体检测器（氯气）的布置依据《</w:t>
      </w:r>
      <w:r>
        <w:rPr>
          <w:rFonts w:hint="eastAsia" w:ascii="宋体" w:hAnsi="宋体" w:cs="宋体"/>
          <w:color w:val="auto"/>
          <w:sz w:val="28"/>
          <w:szCs w:val="28"/>
          <w:highlight w:val="none"/>
          <w:lang w:val="zh-CN"/>
        </w:rPr>
        <w:t>石油化工可燃气体和有毒气体检测报警设计标准</w:t>
      </w:r>
      <w:r>
        <w:rPr>
          <w:rFonts w:hint="eastAsia" w:ascii="宋体" w:hAnsi="宋体" w:cs="宋体"/>
          <w:color w:val="auto"/>
          <w:sz w:val="28"/>
          <w:szCs w:val="28"/>
          <w:highlight w:val="none"/>
        </w:rPr>
        <w:t>》（</w:t>
      </w:r>
      <w:r>
        <w:rPr>
          <w:rFonts w:ascii="宋体" w:hAnsi="宋体" w:cs="宋体"/>
          <w:color w:val="auto"/>
          <w:sz w:val="28"/>
          <w:szCs w:val="28"/>
          <w:highlight w:val="none"/>
        </w:rPr>
        <w:t>GB/T 50493-2019</w:t>
      </w:r>
      <w:r>
        <w:rPr>
          <w:rFonts w:hint="eastAsia" w:ascii="宋体" w:hAnsi="宋体" w:cs="宋体"/>
          <w:color w:val="auto"/>
          <w:sz w:val="28"/>
          <w:szCs w:val="28"/>
          <w:highlight w:val="none"/>
        </w:rPr>
        <w:t>）设计。</w:t>
      </w:r>
    </w:p>
    <w:bookmarkEnd w:id="219"/>
    <w:p>
      <w:pPr>
        <w:pStyle w:val="39"/>
        <w:spacing w:line="560" w:lineRule="exact"/>
        <w:ind w:firstLine="31680"/>
        <w:rPr>
          <w:rFonts w:ascii="宋体" w:cs="宋体"/>
          <w:color w:val="auto"/>
          <w:sz w:val="28"/>
          <w:szCs w:val="28"/>
          <w:highlight w:val="none"/>
          <w:lang w:val="zh-CN" w:eastAsia="zh-CN"/>
        </w:rPr>
      </w:pPr>
      <w:bookmarkStart w:id="228" w:name="_Toc19642"/>
      <w:r>
        <w:rPr>
          <w:rFonts w:ascii="宋体" w:hAnsi="宋体" w:cs="宋体"/>
          <w:color w:val="auto"/>
          <w:sz w:val="28"/>
          <w:szCs w:val="28"/>
          <w:highlight w:val="none"/>
          <w:lang w:val="zh-CN" w:eastAsia="zh-CN"/>
        </w:rPr>
        <w:t xml:space="preserve">4.4.3 </w:t>
      </w:r>
      <w:r>
        <w:rPr>
          <w:rFonts w:hint="eastAsia" w:ascii="宋体" w:hAnsi="宋体" w:cs="宋体"/>
          <w:color w:val="auto"/>
          <w:sz w:val="28"/>
          <w:szCs w:val="28"/>
          <w:highlight w:val="none"/>
          <w:lang w:val="zh-CN" w:eastAsia="zh-CN"/>
        </w:rPr>
        <w:t>主要检测仪表选型</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1</w:t>
      </w:r>
      <w:r>
        <w:rPr>
          <w:rFonts w:hint="eastAsia" w:ascii="宋体" w:hAnsi="宋体" w:cs="宋体"/>
          <w:color w:val="auto"/>
          <w:sz w:val="28"/>
          <w:szCs w:val="28"/>
          <w:highlight w:val="none"/>
          <w:lang w:val="zh-CN" w:eastAsia="zh-CN"/>
        </w:rPr>
        <w:t>）温度仪表</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测温元件均带温度计套管，除特殊工况外均采用整体钻孔温度计套管，套管连接宜采用法兰连接形式，温度计套管的材质一般采用不锈钢；对高温、高压管道采用特种钢的</w:t>
      </w:r>
      <w:r>
        <w:rPr>
          <w:rFonts w:ascii="宋体" w:cs="宋体"/>
          <w:color w:val="auto"/>
          <w:sz w:val="28"/>
          <w:szCs w:val="28"/>
          <w:highlight w:val="none"/>
          <w:lang w:val="zh-CN" w:eastAsia="zh-CN"/>
        </w:rPr>
        <w:t>,</w:t>
      </w:r>
      <w:r>
        <w:rPr>
          <w:rFonts w:hint="eastAsia" w:ascii="宋体" w:hAnsi="宋体" w:cs="宋体"/>
          <w:color w:val="auto"/>
          <w:sz w:val="28"/>
          <w:szCs w:val="28"/>
          <w:highlight w:val="none"/>
          <w:lang w:val="zh-CN" w:eastAsia="zh-CN"/>
        </w:rPr>
        <w:t>套管材质不低于管道材质。</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当温度小于等于</w:t>
      </w:r>
      <w:r>
        <w:rPr>
          <w:rFonts w:ascii="宋体" w:hAnsi="宋体" w:cs="宋体"/>
          <w:color w:val="auto"/>
          <w:sz w:val="28"/>
          <w:szCs w:val="28"/>
          <w:highlight w:val="none"/>
          <w:lang w:val="zh-CN" w:eastAsia="zh-CN"/>
        </w:rPr>
        <w:t>300</w:t>
      </w:r>
      <w:r>
        <w:rPr>
          <w:rFonts w:hint="eastAsia" w:ascii="宋体" w:hAnsi="宋体" w:cs="宋体"/>
          <w:color w:val="auto"/>
          <w:sz w:val="28"/>
          <w:szCs w:val="28"/>
          <w:highlight w:val="none"/>
          <w:lang w:val="zh-CN" w:eastAsia="zh-CN"/>
        </w:rPr>
        <w:t>℃时宜选用</w:t>
      </w:r>
      <w:r>
        <w:rPr>
          <w:rFonts w:ascii="宋体" w:hAnsi="宋体" w:cs="宋体"/>
          <w:color w:val="auto"/>
          <w:sz w:val="28"/>
          <w:szCs w:val="28"/>
          <w:highlight w:val="none"/>
          <w:lang w:val="zh-CN" w:eastAsia="zh-CN"/>
        </w:rPr>
        <w:t>Pt100</w:t>
      </w:r>
      <w:r>
        <w:rPr>
          <w:rFonts w:hint="eastAsia" w:ascii="宋体" w:hAnsi="宋体" w:cs="宋体"/>
          <w:color w:val="auto"/>
          <w:sz w:val="28"/>
          <w:szCs w:val="28"/>
          <w:highlight w:val="none"/>
          <w:lang w:val="zh-CN" w:eastAsia="zh-CN"/>
        </w:rPr>
        <w:t>热电阻，当温度大于</w:t>
      </w:r>
      <w:r>
        <w:rPr>
          <w:rFonts w:ascii="宋体" w:hAnsi="宋体" w:cs="宋体"/>
          <w:color w:val="auto"/>
          <w:sz w:val="28"/>
          <w:szCs w:val="28"/>
          <w:highlight w:val="none"/>
          <w:lang w:val="zh-CN" w:eastAsia="zh-CN"/>
        </w:rPr>
        <w:t>300</w:t>
      </w:r>
      <w:r>
        <w:rPr>
          <w:rFonts w:hint="eastAsia" w:ascii="宋体" w:hAnsi="宋体" w:cs="宋体"/>
          <w:color w:val="auto"/>
          <w:sz w:val="28"/>
          <w:szCs w:val="28"/>
          <w:highlight w:val="none"/>
          <w:lang w:val="zh-CN" w:eastAsia="zh-CN"/>
        </w:rPr>
        <w:t>℃时宜选用</w:t>
      </w:r>
      <w:r>
        <w:rPr>
          <w:rFonts w:ascii="宋体" w:hAnsi="宋体" w:cs="宋体"/>
          <w:color w:val="auto"/>
          <w:sz w:val="28"/>
          <w:szCs w:val="28"/>
          <w:highlight w:val="none"/>
          <w:lang w:val="zh-CN" w:eastAsia="zh-CN"/>
        </w:rPr>
        <w:t>K</w:t>
      </w:r>
      <w:r>
        <w:rPr>
          <w:rFonts w:hint="eastAsia" w:ascii="宋体" w:hAnsi="宋体" w:cs="宋体"/>
          <w:color w:val="auto"/>
          <w:sz w:val="28"/>
          <w:szCs w:val="28"/>
          <w:highlight w:val="none"/>
          <w:lang w:val="zh-CN" w:eastAsia="zh-CN"/>
        </w:rPr>
        <w:t>或</w:t>
      </w:r>
      <w:r>
        <w:rPr>
          <w:rFonts w:ascii="宋体" w:hAnsi="宋体" w:cs="宋体"/>
          <w:color w:val="auto"/>
          <w:sz w:val="28"/>
          <w:szCs w:val="28"/>
          <w:highlight w:val="none"/>
          <w:lang w:val="zh-CN" w:eastAsia="zh-CN"/>
        </w:rPr>
        <w:t>S</w:t>
      </w:r>
      <w:r>
        <w:rPr>
          <w:rFonts w:hint="eastAsia" w:ascii="宋体" w:hAnsi="宋体" w:cs="宋体"/>
          <w:color w:val="auto"/>
          <w:sz w:val="28"/>
          <w:szCs w:val="28"/>
          <w:highlight w:val="none"/>
          <w:lang w:val="zh-CN" w:eastAsia="zh-CN"/>
        </w:rPr>
        <w:t>分度等热电偶。</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就地温度指示采用抽芯式、万向型双金属温度计。</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2</w:t>
      </w:r>
      <w:r>
        <w:rPr>
          <w:rFonts w:hint="eastAsia" w:ascii="宋体" w:hAnsi="宋体" w:cs="宋体"/>
          <w:color w:val="auto"/>
          <w:sz w:val="28"/>
          <w:szCs w:val="28"/>
          <w:highlight w:val="none"/>
          <w:lang w:val="zh-CN" w:eastAsia="zh-CN"/>
        </w:rPr>
        <w:t>）压力（差压）仪表</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一般情况下，采用压力</w:t>
      </w:r>
      <w:r>
        <w:rPr>
          <w:rFonts w:ascii="宋体" w:hAnsi="宋体" w:cs="宋体"/>
          <w:color w:val="auto"/>
          <w:sz w:val="28"/>
          <w:szCs w:val="28"/>
          <w:highlight w:val="none"/>
          <w:lang w:val="zh-CN" w:eastAsia="zh-CN"/>
        </w:rPr>
        <w:t>(</w:t>
      </w:r>
      <w:r>
        <w:rPr>
          <w:rFonts w:hint="eastAsia" w:ascii="宋体" w:hAnsi="宋体" w:cs="宋体"/>
          <w:color w:val="auto"/>
          <w:sz w:val="28"/>
          <w:szCs w:val="28"/>
          <w:highlight w:val="none"/>
          <w:lang w:val="zh-CN" w:eastAsia="zh-CN"/>
        </w:rPr>
        <w:t>差压</w:t>
      </w:r>
      <w:r>
        <w:rPr>
          <w:rFonts w:ascii="宋体" w:hAnsi="宋体" w:cs="宋体"/>
          <w:color w:val="auto"/>
          <w:sz w:val="28"/>
          <w:szCs w:val="28"/>
          <w:highlight w:val="none"/>
          <w:lang w:val="zh-CN" w:eastAsia="zh-CN"/>
        </w:rPr>
        <w:t>)</w:t>
      </w:r>
      <w:r>
        <w:rPr>
          <w:rFonts w:hint="eastAsia" w:ascii="宋体" w:hAnsi="宋体" w:cs="宋体"/>
          <w:color w:val="auto"/>
          <w:sz w:val="28"/>
          <w:szCs w:val="28"/>
          <w:highlight w:val="none"/>
          <w:lang w:val="zh-CN" w:eastAsia="zh-CN"/>
        </w:rPr>
        <w:t>变送器；另根据介质粘堵、腐蚀等情况，分别选用远传式隔膜压力</w:t>
      </w:r>
      <w:r>
        <w:rPr>
          <w:rFonts w:ascii="宋体" w:hAnsi="宋体" w:cs="宋体"/>
          <w:color w:val="auto"/>
          <w:sz w:val="28"/>
          <w:szCs w:val="28"/>
          <w:highlight w:val="none"/>
          <w:lang w:val="zh-CN" w:eastAsia="zh-CN"/>
        </w:rPr>
        <w:t>(</w:t>
      </w:r>
      <w:r>
        <w:rPr>
          <w:rFonts w:hint="eastAsia" w:ascii="宋体" w:hAnsi="宋体" w:cs="宋体"/>
          <w:color w:val="auto"/>
          <w:sz w:val="28"/>
          <w:szCs w:val="28"/>
          <w:highlight w:val="none"/>
          <w:lang w:val="zh-CN" w:eastAsia="zh-CN"/>
        </w:rPr>
        <w:t>差压</w:t>
      </w:r>
      <w:r>
        <w:rPr>
          <w:rFonts w:ascii="宋体" w:hAnsi="宋体" w:cs="宋体"/>
          <w:color w:val="auto"/>
          <w:sz w:val="28"/>
          <w:szCs w:val="28"/>
          <w:highlight w:val="none"/>
          <w:lang w:val="zh-CN" w:eastAsia="zh-CN"/>
        </w:rPr>
        <w:t>)</w:t>
      </w:r>
      <w:r>
        <w:rPr>
          <w:rFonts w:hint="eastAsia" w:ascii="宋体" w:hAnsi="宋体" w:cs="宋体"/>
          <w:color w:val="auto"/>
          <w:sz w:val="28"/>
          <w:szCs w:val="28"/>
          <w:highlight w:val="none"/>
          <w:lang w:val="zh-CN" w:eastAsia="zh-CN"/>
        </w:rPr>
        <w:t>变送器，毛细管填充液根据环境温度和介质温度选择。</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压力表原则上选用不锈钢弹簧管压力表。另根据介质粘堵、腐蚀等情况选用不锈钢隔膜压力表。泵出口选用耐震压力表。</w:t>
      </w:r>
      <w:r>
        <w:rPr>
          <w:rFonts w:ascii="宋体" w:hAnsi="宋体" w:cs="宋体"/>
          <w:color w:val="auto"/>
          <w:sz w:val="28"/>
          <w:szCs w:val="28"/>
          <w:highlight w:val="none"/>
          <w:lang w:val="zh-CN" w:eastAsia="zh-CN"/>
        </w:rPr>
        <w:t xml:space="preserve">    </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3</w:t>
      </w:r>
      <w:r>
        <w:rPr>
          <w:rFonts w:hint="eastAsia" w:ascii="宋体" w:hAnsi="宋体" w:cs="宋体"/>
          <w:color w:val="auto"/>
          <w:sz w:val="28"/>
          <w:szCs w:val="28"/>
          <w:highlight w:val="none"/>
          <w:lang w:val="zh-CN" w:eastAsia="zh-CN"/>
        </w:rPr>
        <w:t>）流量仪表</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一般情况下，流量测量选用法兰取压孔板配差压变送器，</w:t>
      </w:r>
      <w:r>
        <w:rPr>
          <w:rFonts w:ascii="宋体" w:hAnsi="宋体" w:cs="宋体"/>
          <w:color w:val="auto"/>
          <w:sz w:val="28"/>
          <w:szCs w:val="28"/>
          <w:highlight w:val="none"/>
          <w:lang w:val="zh-CN" w:eastAsia="zh-CN"/>
        </w:rPr>
        <w:t>DN50</w:t>
      </w:r>
      <w:r>
        <w:rPr>
          <w:rFonts w:hint="eastAsia" w:ascii="宋体" w:hAnsi="宋体" w:cs="宋体"/>
          <w:color w:val="auto"/>
          <w:sz w:val="28"/>
          <w:szCs w:val="28"/>
          <w:highlight w:val="none"/>
          <w:lang w:val="zh-CN" w:eastAsia="zh-CN"/>
        </w:rPr>
        <w:t>以下选用整体孔板，</w:t>
      </w:r>
      <w:r>
        <w:rPr>
          <w:rFonts w:ascii="宋体" w:hAnsi="宋体" w:cs="宋体"/>
          <w:color w:val="auto"/>
          <w:sz w:val="28"/>
          <w:szCs w:val="28"/>
          <w:highlight w:val="none"/>
          <w:lang w:val="zh-CN" w:eastAsia="zh-CN"/>
        </w:rPr>
        <w:t>DN300</w:t>
      </w:r>
      <w:r>
        <w:rPr>
          <w:rFonts w:hint="eastAsia" w:ascii="宋体" w:hAnsi="宋体" w:cs="宋体"/>
          <w:color w:val="auto"/>
          <w:sz w:val="28"/>
          <w:szCs w:val="28"/>
          <w:highlight w:val="none"/>
          <w:lang w:val="zh-CN" w:eastAsia="zh-CN"/>
        </w:rPr>
        <w:t>以上管道的流量检测选用插入式涡街或巴类流量元件，非关键场所选用远传金属管转子流量计。关键场合的气体测量要进行温压补偿。对于干净介质的气体、蒸汽和液体采用旋涡流量计。</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对于原料和成品的流量测量采用高精度的流量仪表如质量流量计。</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对于测量常温下易冷凝、结晶或变粘稠的介质流量时采用电磁流量计、楔式流量计或带夹套流量计等。</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就地流量指示原则上选用金属管转子流量计或水表。</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4</w:t>
      </w:r>
      <w:r>
        <w:rPr>
          <w:rFonts w:hint="eastAsia" w:ascii="宋体" w:hAnsi="宋体" w:cs="宋体"/>
          <w:color w:val="auto"/>
          <w:sz w:val="28"/>
          <w:szCs w:val="28"/>
          <w:highlight w:val="none"/>
          <w:lang w:val="zh-CN" w:eastAsia="zh-CN"/>
        </w:rPr>
        <w:t>）液位仪表</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液位测量一般选用单法兰或双法兰液位变送器，当液位小于</w:t>
      </w:r>
      <w:r>
        <w:rPr>
          <w:rFonts w:ascii="宋体" w:hAnsi="宋体" w:cs="宋体"/>
          <w:color w:val="auto"/>
          <w:sz w:val="28"/>
          <w:szCs w:val="28"/>
          <w:highlight w:val="none"/>
          <w:lang w:val="zh-CN" w:eastAsia="zh-CN"/>
        </w:rPr>
        <w:t>1500mm</w:t>
      </w:r>
      <w:r>
        <w:rPr>
          <w:rFonts w:hint="eastAsia" w:ascii="宋体" w:hAnsi="宋体" w:cs="宋体"/>
          <w:color w:val="auto"/>
          <w:sz w:val="28"/>
          <w:szCs w:val="28"/>
          <w:highlight w:val="none"/>
          <w:lang w:val="zh-CN" w:eastAsia="zh-CN"/>
        </w:rPr>
        <w:t>且介质洁净不易粘堵时，可采用磁致伸缩液位计、浮筒液位计。</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罐区液位测量采用雷达液位计或雷达液位计。</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物位联锁选用浮筒式液位开关、浮球液位开关、音叉开关等。</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水池等可采用超声波液位计。</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5</w:t>
      </w:r>
      <w:r>
        <w:rPr>
          <w:rFonts w:hint="eastAsia" w:ascii="宋体" w:hAnsi="宋体" w:cs="宋体"/>
          <w:color w:val="auto"/>
          <w:sz w:val="28"/>
          <w:szCs w:val="28"/>
          <w:highlight w:val="none"/>
          <w:lang w:val="zh-CN" w:eastAsia="zh-CN"/>
        </w:rPr>
        <w:t>）控制阀</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原则上采用单、双座阀；蒸汽选用笼式阀；有气蚀的场合选用低噪音、抗气蚀阀；低差压大流量场合选用蝶阀。</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用于放空场合的控制阀，其泄漏量等级应不低于</w:t>
      </w:r>
      <w:r>
        <w:rPr>
          <w:rFonts w:ascii="宋体" w:hAnsi="宋体" w:cs="宋体"/>
          <w:color w:val="auto"/>
          <w:sz w:val="28"/>
          <w:szCs w:val="28"/>
          <w:highlight w:val="none"/>
          <w:lang w:val="zh-CN" w:eastAsia="zh-CN"/>
        </w:rPr>
        <w:t>ANSI Class V</w:t>
      </w:r>
      <w:r>
        <w:rPr>
          <w:rFonts w:hint="eastAsia" w:ascii="宋体" w:hAnsi="宋体" w:cs="宋体"/>
          <w:color w:val="auto"/>
          <w:sz w:val="28"/>
          <w:szCs w:val="28"/>
          <w:highlight w:val="none"/>
          <w:lang w:val="zh-CN" w:eastAsia="zh-CN"/>
        </w:rPr>
        <w:t>。</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对控制阀的阀体及阀内组件材质，应根据工艺介质情况加以选择。</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当能源发生故障或控制信号突然中断时，控制阀应处于使生产装置处于安全的位置。</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控制阀的所有附件，包括电气阀门定位器、电磁阀、阀位传送器、阀位开关及过滤减压器等均随控制阀成套供货。</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6</w:t>
      </w:r>
      <w:r>
        <w:rPr>
          <w:rFonts w:hint="eastAsia" w:ascii="宋体" w:hAnsi="宋体" w:cs="宋体"/>
          <w:color w:val="auto"/>
          <w:sz w:val="28"/>
          <w:szCs w:val="28"/>
          <w:highlight w:val="none"/>
          <w:lang w:val="zh-CN" w:eastAsia="zh-CN"/>
        </w:rPr>
        <w:t>）分析仪</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分析仪根据工艺要求设置，特殊的分析仪应按软件包指定厂家采购，以确保测量准确可靠。</w:t>
      </w:r>
    </w:p>
    <w:p>
      <w:pPr>
        <w:pStyle w:val="39"/>
        <w:spacing w:line="560" w:lineRule="exact"/>
        <w:ind w:firstLine="31680"/>
        <w:rPr>
          <w:rFonts w:ascii="宋体" w:cs="宋体"/>
          <w:color w:val="auto"/>
          <w:sz w:val="28"/>
          <w:szCs w:val="28"/>
          <w:highlight w:val="none"/>
          <w:lang w:val="zh-CN" w:eastAsia="zh-CN"/>
        </w:rPr>
      </w:pPr>
      <w:bookmarkStart w:id="229" w:name="_Toc514076834"/>
      <w:r>
        <w:rPr>
          <w:rFonts w:ascii="宋体" w:hAnsi="宋体" w:cs="宋体"/>
          <w:color w:val="auto"/>
          <w:sz w:val="28"/>
          <w:szCs w:val="28"/>
          <w:highlight w:val="none"/>
          <w:lang w:val="zh-CN" w:eastAsia="zh-CN"/>
        </w:rPr>
        <w:t xml:space="preserve">4.4.4 </w:t>
      </w:r>
      <w:r>
        <w:rPr>
          <w:rFonts w:hint="eastAsia" w:ascii="宋体" w:hAnsi="宋体" w:cs="宋体"/>
          <w:color w:val="auto"/>
          <w:sz w:val="28"/>
          <w:szCs w:val="28"/>
          <w:highlight w:val="none"/>
          <w:lang w:val="zh-CN" w:eastAsia="zh-CN"/>
        </w:rPr>
        <w:t>仪表的供电和供气</w:t>
      </w:r>
      <w:bookmarkEnd w:id="229"/>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1</w:t>
      </w:r>
      <w:r>
        <w:rPr>
          <w:rFonts w:hint="eastAsia" w:ascii="宋体" w:hAnsi="宋体" w:cs="宋体"/>
          <w:color w:val="auto"/>
          <w:sz w:val="28"/>
          <w:szCs w:val="28"/>
          <w:highlight w:val="none"/>
          <w:lang w:val="zh-CN" w:eastAsia="zh-CN"/>
        </w:rPr>
        <w:t>）仪表用电源</w:t>
      </w:r>
    </w:p>
    <w:p>
      <w:pPr>
        <w:pStyle w:val="39"/>
        <w:spacing w:line="560" w:lineRule="exact"/>
        <w:ind w:firstLine="31680"/>
        <w:rPr>
          <w:rFonts w:ascii="宋体" w:cs="宋体"/>
          <w:color w:val="auto"/>
          <w:sz w:val="28"/>
          <w:szCs w:val="28"/>
          <w:highlight w:val="none"/>
          <w:lang w:val="zh-CN" w:eastAsia="zh-CN"/>
        </w:rPr>
      </w:pPr>
      <w:r>
        <w:rPr>
          <w:rFonts w:ascii="宋体" w:hAnsi="宋体" w:cs="宋体"/>
          <w:color w:val="auto"/>
          <w:sz w:val="28"/>
          <w:szCs w:val="28"/>
          <w:highlight w:val="none"/>
          <w:lang w:val="zh-CN" w:eastAsia="zh-CN"/>
        </w:rPr>
        <w:t>UPS</w:t>
      </w:r>
      <w:r>
        <w:rPr>
          <w:rFonts w:hint="eastAsia" w:ascii="宋体" w:hAnsi="宋体" w:cs="宋体"/>
          <w:color w:val="auto"/>
          <w:sz w:val="28"/>
          <w:szCs w:val="28"/>
          <w:highlight w:val="none"/>
          <w:lang w:val="zh-CN" w:eastAsia="zh-CN"/>
        </w:rPr>
        <w:t>电源的质量要求是：</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电压</w:t>
      </w:r>
      <w:r>
        <w:rPr>
          <w:rFonts w:ascii="宋体" w:hAnsi="宋体" w:cs="宋体"/>
          <w:color w:val="auto"/>
          <w:sz w:val="28"/>
          <w:szCs w:val="28"/>
          <w:highlight w:val="none"/>
          <w:lang w:val="zh-CN" w:eastAsia="zh-CN"/>
        </w:rPr>
        <w:t>220VAC</w:t>
      </w: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5%</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频率</w:t>
      </w:r>
      <w:r>
        <w:rPr>
          <w:rFonts w:ascii="宋体" w:hAnsi="宋体" w:cs="宋体"/>
          <w:color w:val="auto"/>
          <w:sz w:val="28"/>
          <w:szCs w:val="28"/>
          <w:highlight w:val="none"/>
          <w:lang w:val="zh-CN" w:eastAsia="zh-CN"/>
        </w:rPr>
        <w:t>50Hz</w:t>
      </w: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0.5%</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波形失真率＜</w:t>
      </w:r>
      <w:r>
        <w:rPr>
          <w:rFonts w:ascii="宋体" w:hAnsi="宋体" w:cs="宋体"/>
          <w:color w:val="auto"/>
          <w:sz w:val="28"/>
          <w:szCs w:val="28"/>
          <w:highlight w:val="none"/>
          <w:lang w:val="zh-CN" w:eastAsia="zh-CN"/>
        </w:rPr>
        <w:t>5%</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本项目</w:t>
      </w:r>
      <w:r>
        <w:rPr>
          <w:rFonts w:ascii="宋体" w:hAnsi="宋体" w:cs="宋体"/>
          <w:color w:val="auto"/>
          <w:sz w:val="28"/>
          <w:szCs w:val="28"/>
          <w:highlight w:val="none"/>
          <w:lang w:val="zh-CN" w:eastAsia="zh-CN"/>
        </w:rPr>
        <w:t>UPS</w:t>
      </w:r>
      <w:r>
        <w:rPr>
          <w:rFonts w:hint="eastAsia" w:ascii="宋体" w:hAnsi="宋体" w:cs="宋体"/>
          <w:color w:val="auto"/>
          <w:sz w:val="28"/>
          <w:szCs w:val="28"/>
          <w:highlight w:val="none"/>
          <w:lang w:val="zh-CN" w:eastAsia="zh-CN"/>
        </w:rPr>
        <w:t>电源由电气专业送至机柜室，蓄电子供电时间为</w:t>
      </w:r>
      <w:r>
        <w:rPr>
          <w:rFonts w:ascii="宋体" w:hAnsi="宋体" w:cs="宋体"/>
          <w:color w:val="auto"/>
          <w:sz w:val="28"/>
          <w:szCs w:val="28"/>
          <w:highlight w:val="none"/>
          <w:lang w:val="zh-CN" w:eastAsia="zh-CN"/>
        </w:rPr>
        <w:t>30</w:t>
      </w:r>
      <w:r>
        <w:rPr>
          <w:rFonts w:hint="eastAsia" w:ascii="宋体" w:hAnsi="宋体" w:cs="宋体"/>
          <w:color w:val="auto"/>
          <w:sz w:val="28"/>
          <w:szCs w:val="28"/>
          <w:highlight w:val="none"/>
          <w:lang w:val="zh-CN" w:eastAsia="zh-CN"/>
        </w:rPr>
        <w:t>分钟。</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2</w:t>
      </w:r>
      <w:r>
        <w:rPr>
          <w:rFonts w:hint="eastAsia" w:ascii="宋体" w:hAnsi="宋体" w:cs="宋体"/>
          <w:color w:val="auto"/>
          <w:sz w:val="28"/>
          <w:szCs w:val="28"/>
          <w:highlight w:val="none"/>
          <w:lang w:val="zh-CN" w:eastAsia="zh-CN"/>
        </w:rPr>
        <w:t>）仪表用压缩空气</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仪表用压缩空气来自</w:t>
      </w:r>
      <w:r>
        <w:rPr>
          <w:rFonts w:hint="eastAsia" w:ascii="宋体" w:hAnsi="宋体" w:cs="宋体"/>
          <w:color w:val="auto"/>
          <w:sz w:val="28"/>
          <w:szCs w:val="28"/>
          <w:highlight w:val="none"/>
          <w:lang w:eastAsia="zh-CN"/>
        </w:rPr>
        <w:t>来自空压站，压力</w:t>
      </w:r>
      <w:r>
        <w:rPr>
          <w:rFonts w:hint="eastAsia" w:ascii="宋体" w:hAnsi="宋体" w:cs="宋体"/>
          <w:color w:val="auto"/>
          <w:sz w:val="28"/>
          <w:szCs w:val="28"/>
          <w:highlight w:val="none"/>
          <w:lang w:val="zh-CN" w:eastAsia="zh-CN"/>
        </w:rPr>
        <w:t>不低于</w:t>
      </w:r>
      <w:r>
        <w:rPr>
          <w:rFonts w:ascii="宋体" w:cs="宋体"/>
          <w:color w:val="auto"/>
          <w:sz w:val="28"/>
          <w:szCs w:val="28"/>
          <w:highlight w:val="none"/>
          <w:lang w:val="zh-CN" w:eastAsia="zh-CN"/>
        </w:rPr>
        <w:t>0.</w:t>
      </w:r>
      <w:r>
        <w:rPr>
          <w:rFonts w:ascii="宋体" w:hAnsi="宋体" w:cs="宋体"/>
          <w:color w:val="auto"/>
          <w:sz w:val="28"/>
          <w:szCs w:val="28"/>
          <w:highlight w:val="none"/>
          <w:lang w:eastAsia="zh-CN"/>
        </w:rPr>
        <w:t>6</w:t>
      </w:r>
      <w:r>
        <w:rPr>
          <w:rFonts w:ascii="宋体" w:hAnsi="宋体" w:cs="宋体"/>
          <w:color w:val="auto"/>
          <w:sz w:val="28"/>
          <w:szCs w:val="28"/>
          <w:highlight w:val="none"/>
          <w:lang w:val="zh-CN" w:eastAsia="zh-CN"/>
        </w:rPr>
        <w:t>MPa</w:t>
      </w:r>
      <w:r>
        <w:rPr>
          <w:rFonts w:hint="eastAsia" w:ascii="宋体" w:hAnsi="宋体" w:cs="宋体"/>
          <w:color w:val="auto"/>
          <w:sz w:val="28"/>
          <w:szCs w:val="28"/>
          <w:highlight w:val="none"/>
          <w:lang w:val="zh-CN" w:eastAsia="zh-CN"/>
        </w:rPr>
        <w:t>（</w:t>
      </w:r>
      <w:r>
        <w:rPr>
          <w:rFonts w:ascii="宋体" w:hAnsi="宋体" w:cs="宋体"/>
          <w:color w:val="auto"/>
          <w:sz w:val="28"/>
          <w:szCs w:val="28"/>
          <w:highlight w:val="none"/>
          <w:lang w:val="zh-CN" w:eastAsia="zh-CN"/>
        </w:rPr>
        <w:t>G</w:t>
      </w:r>
      <w:r>
        <w:rPr>
          <w:rFonts w:hint="eastAsia" w:ascii="宋体" w:hAnsi="宋体" w:cs="宋体"/>
          <w:color w:val="auto"/>
          <w:sz w:val="28"/>
          <w:szCs w:val="28"/>
          <w:highlight w:val="none"/>
          <w:lang w:val="zh-CN" w:eastAsia="zh-CN"/>
        </w:rPr>
        <w:t>）。</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气源质量要求：</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露点：操作压力下</w:t>
      </w:r>
      <w:r>
        <w:rPr>
          <w:rFonts w:ascii="宋体" w:hAnsi="宋体" w:cs="宋体"/>
          <w:color w:val="auto"/>
          <w:sz w:val="28"/>
          <w:szCs w:val="28"/>
          <w:highlight w:val="none"/>
          <w:lang w:val="zh-CN" w:eastAsia="zh-CN"/>
        </w:rPr>
        <w:t xml:space="preserve">, </w:t>
      </w:r>
      <w:r>
        <w:rPr>
          <w:rFonts w:hint="eastAsia" w:ascii="宋体" w:hAnsi="宋体" w:cs="宋体"/>
          <w:color w:val="auto"/>
          <w:sz w:val="28"/>
          <w:szCs w:val="28"/>
          <w:highlight w:val="none"/>
          <w:lang w:val="zh-CN" w:eastAsia="zh-CN"/>
        </w:rPr>
        <w:t>至少低于当地极端温度</w:t>
      </w:r>
      <w:r>
        <w:rPr>
          <w:rFonts w:ascii="宋体" w:hAnsi="宋体" w:cs="宋体"/>
          <w:color w:val="auto"/>
          <w:sz w:val="28"/>
          <w:szCs w:val="28"/>
          <w:highlight w:val="none"/>
          <w:lang w:val="zh-CN" w:eastAsia="zh-CN"/>
        </w:rPr>
        <w:t>10</w:t>
      </w:r>
      <w:r>
        <w:rPr>
          <w:rFonts w:hint="eastAsia" w:ascii="宋体" w:hAnsi="宋体" w:cs="宋体"/>
          <w:color w:val="auto"/>
          <w:sz w:val="28"/>
          <w:szCs w:val="28"/>
          <w:highlight w:val="none"/>
          <w:lang w:val="zh-CN" w:eastAsia="zh-CN"/>
        </w:rPr>
        <w:t>℃</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含尘：粒径＜</w:t>
      </w:r>
      <w:r>
        <w:rPr>
          <w:rFonts w:ascii="宋体" w:hAnsi="宋体" w:cs="宋体"/>
          <w:color w:val="auto"/>
          <w:sz w:val="28"/>
          <w:szCs w:val="28"/>
          <w:highlight w:val="none"/>
          <w:lang w:val="zh-CN" w:eastAsia="zh-CN"/>
        </w:rPr>
        <w:t>3</w:t>
      </w:r>
      <w:r>
        <w:rPr>
          <w:rFonts w:hint="eastAsia" w:ascii="宋体" w:hAnsi="宋体" w:cs="宋体"/>
          <w:color w:val="auto"/>
          <w:sz w:val="28"/>
          <w:szCs w:val="28"/>
          <w:highlight w:val="none"/>
          <w:lang w:val="zh-CN" w:eastAsia="zh-CN"/>
        </w:rPr>
        <w:t>μｍ，含尘量＜</w:t>
      </w:r>
      <w:r>
        <w:rPr>
          <w:rFonts w:ascii="宋体" w:hAnsi="宋体" w:cs="宋体"/>
          <w:color w:val="auto"/>
          <w:sz w:val="28"/>
          <w:szCs w:val="28"/>
          <w:highlight w:val="none"/>
          <w:lang w:val="zh-CN" w:eastAsia="zh-CN"/>
        </w:rPr>
        <w:t>1 mg/m3</w:t>
      </w:r>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含油：＜</w:t>
      </w:r>
      <w:r>
        <w:rPr>
          <w:rFonts w:ascii="宋体" w:hAnsi="宋体" w:cs="宋体"/>
          <w:color w:val="auto"/>
          <w:sz w:val="28"/>
          <w:szCs w:val="28"/>
          <w:highlight w:val="none"/>
          <w:lang w:val="zh-CN" w:eastAsia="zh-CN"/>
        </w:rPr>
        <w:t>1ppm</w:t>
      </w:r>
    </w:p>
    <w:p>
      <w:pPr>
        <w:pStyle w:val="39"/>
        <w:spacing w:line="560" w:lineRule="exact"/>
        <w:ind w:firstLine="31680"/>
        <w:rPr>
          <w:rFonts w:ascii="宋体" w:cs="宋体"/>
          <w:color w:val="auto"/>
          <w:sz w:val="28"/>
          <w:szCs w:val="28"/>
          <w:highlight w:val="none"/>
          <w:lang w:val="zh-CN" w:eastAsia="zh-CN"/>
        </w:rPr>
      </w:pPr>
      <w:bookmarkStart w:id="230" w:name="_Toc479929530"/>
      <w:bookmarkStart w:id="231" w:name="_Toc399683759"/>
      <w:bookmarkStart w:id="232" w:name="_Toc29955"/>
      <w:bookmarkStart w:id="233" w:name="_Toc514076835"/>
      <w:r>
        <w:rPr>
          <w:rFonts w:ascii="宋体" w:hAnsi="宋体" w:cs="宋体"/>
          <w:color w:val="auto"/>
          <w:sz w:val="28"/>
          <w:szCs w:val="28"/>
          <w:highlight w:val="none"/>
          <w:lang w:val="zh-CN" w:eastAsia="zh-CN"/>
        </w:rPr>
        <w:t xml:space="preserve">4.4.5 </w:t>
      </w:r>
      <w:r>
        <w:rPr>
          <w:rFonts w:hint="eastAsia" w:ascii="宋体" w:hAnsi="宋体" w:cs="宋体"/>
          <w:color w:val="auto"/>
          <w:sz w:val="28"/>
          <w:szCs w:val="28"/>
          <w:highlight w:val="none"/>
          <w:lang w:val="zh-CN" w:eastAsia="zh-CN"/>
        </w:rPr>
        <w:t>仪表接地系统</w:t>
      </w:r>
      <w:bookmarkEnd w:id="230"/>
      <w:bookmarkEnd w:id="231"/>
      <w:bookmarkEnd w:id="232"/>
    </w:p>
    <w:p>
      <w:pPr>
        <w:pStyle w:val="39"/>
        <w:spacing w:line="560" w:lineRule="exact"/>
        <w:ind w:firstLine="31680"/>
        <w:rPr>
          <w:rFonts w:ascii="宋体" w:cs="宋体"/>
          <w:color w:val="auto"/>
          <w:sz w:val="28"/>
          <w:szCs w:val="28"/>
          <w:highlight w:val="none"/>
          <w:lang w:val="zh-CN" w:eastAsia="zh-CN"/>
        </w:rPr>
      </w:pPr>
      <w:r>
        <w:rPr>
          <w:rFonts w:hint="eastAsia" w:ascii="宋体" w:hAnsi="宋体" w:cs="宋体"/>
          <w:color w:val="auto"/>
          <w:sz w:val="28"/>
          <w:szCs w:val="28"/>
          <w:highlight w:val="none"/>
          <w:lang w:val="zh-CN" w:eastAsia="zh-CN"/>
        </w:rPr>
        <w:t>仪表的保护接地</w:t>
      </w:r>
      <w:r>
        <w:rPr>
          <w:rFonts w:ascii="宋体" w:hAnsi="宋体" w:cs="宋体"/>
          <w:color w:val="auto"/>
          <w:sz w:val="28"/>
          <w:szCs w:val="28"/>
          <w:highlight w:val="none"/>
          <w:lang w:val="zh-CN" w:eastAsia="zh-CN"/>
        </w:rPr>
        <w:t>(</w:t>
      </w:r>
      <w:r>
        <w:rPr>
          <w:rFonts w:hint="eastAsia" w:ascii="宋体" w:hAnsi="宋体" w:cs="宋体"/>
          <w:color w:val="auto"/>
          <w:sz w:val="28"/>
          <w:szCs w:val="28"/>
          <w:highlight w:val="none"/>
          <w:lang w:val="zh-CN" w:eastAsia="zh-CN"/>
        </w:rPr>
        <w:t>仪表、盘、柜的外壳接地</w:t>
      </w:r>
      <w:r>
        <w:rPr>
          <w:rFonts w:ascii="宋体" w:hAnsi="宋体" w:cs="宋体"/>
          <w:color w:val="auto"/>
          <w:sz w:val="28"/>
          <w:szCs w:val="28"/>
          <w:highlight w:val="none"/>
          <w:lang w:val="zh-CN" w:eastAsia="zh-CN"/>
        </w:rPr>
        <w:t>)</w:t>
      </w:r>
      <w:r>
        <w:rPr>
          <w:rFonts w:hint="eastAsia" w:ascii="宋体" w:hAnsi="宋体" w:cs="宋体"/>
          <w:color w:val="auto"/>
          <w:sz w:val="28"/>
          <w:szCs w:val="28"/>
          <w:highlight w:val="none"/>
          <w:lang w:val="zh-CN" w:eastAsia="zh-CN"/>
        </w:rPr>
        <w:t>接至电气专业的接地系统，</w:t>
      </w:r>
      <w:r>
        <w:rPr>
          <w:rFonts w:ascii="宋体" w:hAnsi="宋体" w:cs="宋体"/>
          <w:color w:val="auto"/>
          <w:sz w:val="28"/>
          <w:szCs w:val="28"/>
          <w:highlight w:val="none"/>
          <w:lang w:val="zh-CN" w:eastAsia="zh-CN"/>
        </w:rPr>
        <w:t>DCS</w:t>
      </w:r>
      <w:r>
        <w:rPr>
          <w:rFonts w:hint="eastAsia" w:ascii="宋体" w:hAnsi="宋体" w:cs="宋体"/>
          <w:color w:val="auto"/>
          <w:sz w:val="28"/>
          <w:szCs w:val="28"/>
          <w:highlight w:val="none"/>
          <w:lang w:val="zh-CN" w:eastAsia="zh-CN"/>
        </w:rPr>
        <w:t>的接地设置应按照</w:t>
      </w:r>
      <w:r>
        <w:rPr>
          <w:rFonts w:ascii="宋体" w:hAnsi="宋体" w:cs="宋体"/>
          <w:color w:val="auto"/>
          <w:sz w:val="28"/>
          <w:szCs w:val="28"/>
          <w:highlight w:val="none"/>
          <w:lang w:val="zh-CN" w:eastAsia="zh-CN"/>
        </w:rPr>
        <w:t>DCS</w:t>
      </w:r>
      <w:r>
        <w:rPr>
          <w:rFonts w:hint="eastAsia" w:ascii="宋体" w:hAnsi="宋体" w:cs="宋体"/>
          <w:color w:val="auto"/>
          <w:sz w:val="28"/>
          <w:szCs w:val="28"/>
          <w:highlight w:val="none"/>
          <w:lang w:val="zh-CN" w:eastAsia="zh-CN"/>
        </w:rPr>
        <w:t>系统厂家的要求进行，</w:t>
      </w:r>
      <w:r>
        <w:rPr>
          <w:rFonts w:hint="eastAsia" w:ascii="宋体" w:hAnsi="宋体" w:cs="宋体"/>
          <w:color w:val="auto"/>
          <w:sz w:val="28"/>
          <w:szCs w:val="28"/>
          <w:highlight w:val="none"/>
          <w:lang w:eastAsia="zh-CN"/>
        </w:rPr>
        <w:t>接入原有</w:t>
      </w:r>
      <w:r>
        <w:rPr>
          <w:rFonts w:hint="eastAsia" w:ascii="宋体" w:hAnsi="宋体" w:cs="宋体"/>
          <w:color w:val="auto"/>
          <w:sz w:val="28"/>
          <w:szCs w:val="28"/>
          <w:highlight w:val="none"/>
          <w:lang w:val="zh-CN" w:eastAsia="zh-CN"/>
        </w:rPr>
        <w:t>接地极。</w:t>
      </w:r>
    </w:p>
    <w:bookmarkEnd w:id="233"/>
    <w:p>
      <w:pPr>
        <w:pStyle w:val="33"/>
        <w:spacing w:line="560" w:lineRule="exact"/>
        <w:ind w:firstLine="31680"/>
        <w:outlineLvl w:val="1"/>
        <w:rPr>
          <w:rFonts w:ascii="宋体" w:cs="宋体"/>
          <w:color w:val="auto"/>
          <w:sz w:val="28"/>
          <w:szCs w:val="28"/>
          <w:highlight w:val="none"/>
          <w:lang w:val="zh-CN"/>
        </w:rPr>
      </w:pPr>
      <w:bookmarkStart w:id="234" w:name="_Toc30431"/>
      <w:bookmarkStart w:id="235" w:name="_Toc21496"/>
      <w:bookmarkStart w:id="236" w:name="_Toc15007"/>
      <w:bookmarkStart w:id="237" w:name="_Toc479929531"/>
      <w:bookmarkStart w:id="238" w:name="_Toc3404"/>
      <w:bookmarkStart w:id="239" w:name="_Toc11618"/>
      <w:r>
        <w:rPr>
          <w:rFonts w:ascii="宋体" w:hAnsi="宋体" w:cs="宋体"/>
          <w:color w:val="auto"/>
          <w:sz w:val="28"/>
          <w:szCs w:val="28"/>
          <w:highlight w:val="none"/>
          <w:lang w:val="zh-CN"/>
        </w:rPr>
        <w:t xml:space="preserve">4.5 </w:t>
      </w:r>
      <w:r>
        <w:rPr>
          <w:rFonts w:hint="eastAsia" w:ascii="宋体" w:hAnsi="宋体" w:cs="宋体"/>
          <w:color w:val="auto"/>
          <w:sz w:val="28"/>
          <w:szCs w:val="28"/>
          <w:highlight w:val="none"/>
          <w:lang w:val="zh-CN"/>
        </w:rPr>
        <w:t>装置界内公用工程设施</w:t>
      </w:r>
      <w:bookmarkEnd w:id="234"/>
      <w:bookmarkEnd w:id="235"/>
      <w:bookmarkEnd w:id="236"/>
      <w:bookmarkEnd w:id="237"/>
      <w:bookmarkEnd w:id="238"/>
      <w:bookmarkEnd w:id="239"/>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本项目界内公用工程和辅助设施，合理布局，使工艺流程顺畅，装置单元布置紧凑合理，并满足消防、劳动安全、卫生、检修、运输等要求。做到布置最佳并尽量减少投资。</w:t>
      </w:r>
    </w:p>
    <w:p>
      <w:pPr>
        <w:pStyle w:val="33"/>
        <w:spacing w:line="560" w:lineRule="exact"/>
        <w:ind w:firstLine="31680"/>
        <w:outlineLvl w:val="1"/>
        <w:rPr>
          <w:rFonts w:ascii="宋体" w:cs="宋体"/>
          <w:color w:val="auto"/>
          <w:sz w:val="28"/>
          <w:szCs w:val="28"/>
          <w:highlight w:val="none"/>
          <w:lang w:val="zh-CN"/>
        </w:rPr>
      </w:pPr>
      <w:bookmarkStart w:id="240" w:name="_Toc5585"/>
      <w:r>
        <w:rPr>
          <w:rFonts w:ascii="宋体" w:hAnsi="宋体" w:cs="宋体"/>
          <w:color w:val="auto"/>
          <w:sz w:val="28"/>
          <w:szCs w:val="28"/>
          <w:highlight w:val="none"/>
          <w:lang w:val="zh-CN"/>
        </w:rPr>
        <w:t>4.</w:t>
      </w:r>
      <w:r>
        <w:rPr>
          <w:rFonts w:ascii="宋体" w:hAnsi="宋体" w:cs="宋体"/>
          <w:color w:val="auto"/>
          <w:sz w:val="28"/>
          <w:szCs w:val="28"/>
          <w:highlight w:val="none"/>
        </w:rPr>
        <w:t>6</w:t>
      </w:r>
      <w:r>
        <w:rPr>
          <w:rFonts w:hint="eastAsia" w:ascii="宋体" w:hAnsi="宋体" w:cs="宋体"/>
          <w:color w:val="auto"/>
          <w:sz w:val="28"/>
          <w:szCs w:val="28"/>
          <w:highlight w:val="none"/>
          <w:lang w:val="zh-CN"/>
        </w:rPr>
        <w:t>装置的占地</w:t>
      </w:r>
      <w:bookmarkEnd w:id="220"/>
      <w:bookmarkEnd w:id="221"/>
      <w:bookmarkEnd w:id="222"/>
      <w:bookmarkEnd w:id="223"/>
      <w:bookmarkEnd w:id="224"/>
      <w:bookmarkEnd w:id="225"/>
      <w:bookmarkEnd w:id="226"/>
      <w:bookmarkEnd w:id="228"/>
      <w:bookmarkEnd w:id="240"/>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本项目占地约</w:t>
      </w:r>
      <w:r>
        <w:rPr>
          <w:rFonts w:ascii="宋体" w:hAnsi="宋体" w:cs="宋体"/>
          <w:color w:val="auto"/>
          <w:sz w:val="28"/>
          <w:szCs w:val="28"/>
          <w:highlight w:val="none"/>
        </w:rPr>
        <w:t>150</w:t>
      </w:r>
      <w:r>
        <w:rPr>
          <w:rFonts w:hint="eastAsia" w:ascii="宋体" w:hAnsi="宋体" w:cs="宋体"/>
          <w:color w:val="auto"/>
          <w:sz w:val="28"/>
          <w:szCs w:val="28"/>
          <w:highlight w:val="none"/>
          <w:lang w:val="zh-CN"/>
        </w:rPr>
        <w:t>㎡。</w:t>
      </w:r>
    </w:p>
    <w:p>
      <w:pPr>
        <w:pStyle w:val="33"/>
        <w:spacing w:line="560" w:lineRule="exact"/>
        <w:ind w:firstLine="31680"/>
        <w:outlineLvl w:val="1"/>
        <w:rPr>
          <w:rFonts w:ascii="宋体" w:cs="宋体"/>
          <w:color w:val="auto"/>
          <w:sz w:val="28"/>
          <w:szCs w:val="28"/>
          <w:highlight w:val="none"/>
          <w:lang w:val="zh-CN"/>
        </w:rPr>
      </w:pPr>
      <w:bookmarkStart w:id="241" w:name="_Toc17152_WPSOffice_Level2"/>
      <w:bookmarkStart w:id="242" w:name="_Toc15525_WPSOffice_Level2"/>
      <w:bookmarkStart w:id="243" w:name="_Toc13171_WPSOffice_Level2"/>
      <w:bookmarkStart w:id="244" w:name="_Toc22631"/>
      <w:bookmarkStart w:id="245" w:name="_Toc14234_WPSOffice_Level2"/>
      <w:bookmarkStart w:id="246" w:name="_Toc2855"/>
      <w:bookmarkStart w:id="247" w:name="_Toc16777"/>
      <w:bookmarkStart w:id="248" w:name="_Toc3876"/>
      <w:bookmarkStart w:id="249" w:name="_Toc32589"/>
      <w:r>
        <w:rPr>
          <w:rFonts w:ascii="宋体" w:hAnsi="宋体" w:cs="宋体"/>
          <w:color w:val="auto"/>
          <w:sz w:val="28"/>
          <w:szCs w:val="28"/>
          <w:highlight w:val="none"/>
          <w:lang w:val="zh-CN"/>
        </w:rPr>
        <w:t>4.</w:t>
      </w:r>
      <w:r>
        <w:rPr>
          <w:rFonts w:ascii="宋体" w:hAnsi="宋体" w:cs="宋体"/>
          <w:color w:val="auto"/>
          <w:sz w:val="28"/>
          <w:szCs w:val="28"/>
          <w:highlight w:val="none"/>
        </w:rPr>
        <w:t>7</w:t>
      </w:r>
      <w:r>
        <w:rPr>
          <w:rFonts w:hint="eastAsia" w:ascii="宋体" w:hAnsi="宋体" w:cs="宋体"/>
          <w:color w:val="auto"/>
          <w:sz w:val="28"/>
          <w:szCs w:val="28"/>
          <w:highlight w:val="none"/>
          <w:lang w:val="zh-CN"/>
        </w:rPr>
        <w:t>工艺技术及设备风险分析</w:t>
      </w:r>
      <w:bookmarkEnd w:id="241"/>
      <w:bookmarkEnd w:id="242"/>
      <w:bookmarkEnd w:id="243"/>
      <w:bookmarkEnd w:id="244"/>
      <w:bookmarkEnd w:id="245"/>
      <w:bookmarkEnd w:id="246"/>
      <w:bookmarkEnd w:id="247"/>
      <w:bookmarkEnd w:id="248"/>
      <w:bookmarkEnd w:id="249"/>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本项目采用的工艺技术成熟、可靠，已有大量运行经验，其工艺和设备基本实现国产化，风险较低。</w:t>
      </w:r>
    </w:p>
    <w:p>
      <w:pPr>
        <w:pStyle w:val="33"/>
        <w:spacing w:line="560" w:lineRule="exact"/>
        <w:ind w:firstLine="31680"/>
        <w:rPr>
          <w:rFonts w:ascii="宋体" w:cs="宋体"/>
          <w:color w:val="auto"/>
          <w:sz w:val="28"/>
          <w:szCs w:val="28"/>
          <w:highlight w:val="none"/>
          <w:lang w:val="zh-CN"/>
        </w:rPr>
        <w:sectPr>
          <w:pgSz w:w="11906" w:h="16838"/>
          <w:pgMar w:top="1440" w:right="1800" w:bottom="1440" w:left="1800" w:header="851" w:footer="992" w:gutter="0"/>
          <w:cols w:space="425" w:num="1"/>
          <w:docGrid w:type="lines" w:linePitch="312" w:charSpace="0"/>
        </w:sectPr>
      </w:pPr>
    </w:p>
    <w:p>
      <w:pPr>
        <w:pStyle w:val="2"/>
        <w:spacing w:before="0" w:after="0" w:line="560" w:lineRule="exact"/>
        <w:jc w:val="center"/>
        <w:rPr>
          <w:rFonts w:ascii="宋体" w:cs="宋体"/>
          <w:color w:val="auto"/>
          <w:sz w:val="32"/>
          <w:szCs w:val="32"/>
          <w:highlight w:val="none"/>
          <w:lang w:val="zh-CN"/>
        </w:rPr>
      </w:pPr>
      <w:bookmarkStart w:id="250" w:name="_Toc14596"/>
      <w:bookmarkStart w:id="251" w:name="_Toc11516"/>
      <w:bookmarkStart w:id="252" w:name="_Toc20479"/>
      <w:bookmarkStart w:id="253" w:name="_Toc14320"/>
      <w:bookmarkStart w:id="254" w:name="_Toc11580"/>
      <w:bookmarkStart w:id="255" w:name="_Toc27341"/>
      <w:bookmarkStart w:id="256" w:name="_Toc8439"/>
      <w:bookmarkStart w:id="257" w:name="_Toc15717"/>
      <w:bookmarkStart w:id="258" w:name="_Toc7330"/>
      <w:bookmarkStart w:id="259" w:name="_Toc2364"/>
      <w:bookmarkStart w:id="260" w:name="_Toc25879"/>
      <w:bookmarkStart w:id="261" w:name="_Toc22386"/>
      <w:bookmarkStart w:id="262" w:name="_Toc5170"/>
      <w:bookmarkStart w:id="263" w:name="_Toc1554"/>
      <w:bookmarkStart w:id="264" w:name="_Toc21891"/>
      <w:bookmarkStart w:id="265" w:name="_Toc18265"/>
      <w:bookmarkStart w:id="266" w:name="_Toc16667"/>
      <w:bookmarkStart w:id="267" w:name="_Toc19608"/>
      <w:bookmarkStart w:id="268" w:name="_Toc3428"/>
      <w:bookmarkStart w:id="269" w:name="_Toc23383"/>
      <w:bookmarkStart w:id="270" w:name="_Toc8511"/>
      <w:bookmarkStart w:id="271" w:name="_Toc28055"/>
      <w:r>
        <w:rPr>
          <w:rFonts w:hint="eastAsia" w:ascii="宋体" w:hAnsi="宋体" w:cs="宋体"/>
          <w:color w:val="auto"/>
          <w:sz w:val="32"/>
          <w:szCs w:val="32"/>
          <w:highlight w:val="none"/>
          <w:lang w:val="zh-CN"/>
        </w:rPr>
        <w:t>第五章</w:t>
      </w:r>
      <w:r>
        <w:rPr>
          <w:rFonts w:ascii="宋体" w:hAnsi="宋体" w:cs="宋体"/>
          <w:color w:val="auto"/>
          <w:sz w:val="32"/>
          <w:szCs w:val="32"/>
          <w:highlight w:val="none"/>
          <w:lang w:val="zh-CN"/>
        </w:rPr>
        <w:t xml:space="preserve"> </w:t>
      </w:r>
      <w:r>
        <w:rPr>
          <w:rFonts w:hint="eastAsia" w:ascii="宋体" w:hAnsi="宋体" w:cs="宋体"/>
          <w:color w:val="auto"/>
          <w:sz w:val="32"/>
          <w:szCs w:val="32"/>
          <w:highlight w:val="none"/>
          <w:lang w:val="zh-CN"/>
        </w:rPr>
        <w:t>原材料、动力供应</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p>
    <w:p>
      <w:pPr>
        <w:pStyle w:val="33"/>
        <w:spacing w:line="560" w:lineRule="exact"/>
        <w:ind w:firstLine="31680"/>
        <w:outlineLvl w:val="1"/>
        <w:rPr>
          <w:rFonts w:ascii="宋体" w:cs="宋体"/>
          <w:color w:val="auto"/>
          <w:sz w:val="28"/>
          <w:szCs w:val="28"/>
          <w:highlight w:val="none"/>
          <w:lang w:val="zh-CN"/>
        </w:rPr>
      </w:pPr>
      <w:bookmarkStart w:id="272" w:name="_Toc5676"/>
      <w:bookmarkStart w:id="273" w:name="_Toc20461"/>
      <w:bookmarkStart w:id="274" w:name="_Toc7297"/>
      <w:bookmarkStart w:id="275" w:name="_Toc2929"/>
      <w:bookmarkStart w:id="276" w:name="_Toc6736"/>
      <w:bookmarkStart w:id="277" w:name="_Toc25501"/>
      <w:bookmarkStart w:id="278" w:name="_Toc29284"/>
      <w:bookmarkStart w:id="279" w:name="_Toc29088"/>
      <w:bookmarkStart w:id="280" w:name="_Toc4466"/>
      <w:bookmarkStart w:id="281" w:name="_Toc18538"/>
      <w:bookmarkStart w:id="282" w:name="_Toc28166"/>
      <w:bookmarkStart w:id="283" w:name="_Toc11845"/>
      <w:bookmarkStart w:id="284" w:name="_Toc25399"/>
      <w:bookmarkStart w:id="285" w:name="_Toc17796"/>
      <w:r>
        <w:rPr>
          <w:rFonts w:ascii="宋体" w:hAnsi="宋体" w:cs="宋体"/>
          <w:color w:val="auto"/>
          <w:sz w:val="28"/>
          <w:szCs w:val="28"/>
          <w:highlight w:val="none"/>
        </w:rPr>
        <w:t>5</w:t>
      </w:r>
      <w:r>
        <w:rPr>
          <w:rFonts w:ascii="宋体" w:hAnsi="宋体" w:cs="宋体"/>
          <w:color w:val="auto"/>
          <w:sz w:val="28"/>
          <w:szCs w:val="28"/>
          <w:highlight w:val="none"/>
          <w:lang w:val="zh-CN"/>
        </w:rPr>
        <w:t xml:space="preserve">.1 </w:t>
      </w:r>
      <w:r>
        <w:rPr>
          <w:rFonts w:hint="eastAsia" w:ascii="宋体" w:hAnsi="宋体" w:cs="宋体"/>
          <w:color w:val="auto"/>
          <w:sz w:val="28"/>
          <w:szCs w:val="28"/>
          <w:highlight w:val="none"/>
          <w:lang w:val="zh-CN"/>
        </w:rPr>
        <w:t>主要原材料供应</w:t>
      </w:r>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Pr>
          <w:rFonts w:ascii="宋体" w:cs="宋体"/>
          <w:color w:val="auto"/>
          <w:sz w:val="28"/>
          <w:szCs w:val="28"/>
          <w:highlight w:val="none"/>
          <w:lang w:val="zh-CN"/>
        </w:rPr>
        <w:tab/>
      </w:r>
    </w:p>
    <w:p>
      <w:pPr>
        <w:pStyle w:val="33"/>
        <w:spacing w:line="560" w:lineRule="exact"/>
        <w:ind w:firstLine="31680"/>
        <w:rPr>
          <w:rFonts w:ascii="宋体" w:cs="宋体"/>
          <w:color w:val="auto"/>
          <w:sz w:val="28"/>
          <w:szCs w:val="28"/>
          <w:highlight w:val="none"/>
          <w:lang w:val="zh-CN"/>
        </w:rPr>
      </w:pPr>
      <w:bookmarkStart w:id="286" w:name="_Toc7307"/>
      <w:bookmarkStart w:id="287" w:name="_Toc31461"/>
      <w:bookmarkStart w:id="288" w:name="_Toc26204"/>
      <w:bookmarkStart w:id="289" w:name="_Toc29115"/>
      <w:bookmarkStart w:id="290" w:name="_Toc16464"/>
      <w:bookmarkStart w:id="291" w:name="_Toc26452"/>
      <w:bookmarkStart w:id="292" w:name="_Toc18407"/>
      <w:bookmarkStart w:id="293" w:name="_Toc27927"/>
      <w:bookmarkStart w:id="294" w:name="_Toc6569"/>
      <w:bookmarkStart w:id="295" w:name="_Toc28998"/>
      <w:bookmarkStart w:id="296" w:name="_Toc578"/>
      <w:bookmarkStart w:id="297" w:name="_Toc5391"/>
      <w:bookmarkStart w:id="298" w:name="_Toc29184"/>
      <w:bookmarkStart w:id="299" w:name="_Toc7706"/>
      <w:bookmarkStart w:id="300" w:name="_Toc2652"/>
      <w:bookmarkStart w:id="301" w:name="_Toc17890"/>
      <w:bookmarkStart w:id="302" w:name="_Toc22454"/>
      <w:r>
        <w:rPr>
          <w:rFonts w:ascii="宋体" w:hAnsi="宋体" w:cs="宋体"/>
          <w:color w:val="auto"/>
          <w:sz w:val="28"/>
          <w:szCs w:val="28"/>
          <w:highlight w:val="none"/>
        </w:rPr>
        <w:t>5</w:t>
      </w:r>
      <w:r>
        <w:rPr>
          <w:rFonts w:ascii="宋体" w:hAnsi="宋体" w:cs="宋体"/>
          <w:color w:val="auto"/>
          <w:sz w:val="28"/>
          <w:szCs w:val="28"/>
          <w:highlight w:val="none"/>
          <w:lang w:val="zh-CN"/>
        </w:rPr>
        <w:t xml:space="preserve">.1.1 </w:t>
      </w:r>
      <w:r>
        <w:rPr>
          <w:rFonts w:hint="eastAsia" w:ascii="宋体" w:hAnsi="宋体" w:cs="宋体"/>
          <w:color w:val="auto"/>
          <w:sz w:val="28"/>
          <w:szCs w:val="28"/>
          <w:highlight w:val="none"/>
          <w:lang w:val="zh-CN"/>
        </w:rPr>
        <w:t>主要原辅材料品种、质量与年需要量</w:t>
      </w:r>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p>
    <w:p>
      <w:pPr>
        <w:pStyle w:val="33"/>
        <w:spacing w:line="560" w:lineRule="exact"/>
        <w:ind w:firstLine="31680"/>
        <w:rPr>
          <w:rFonts w:ascii="宋体" w:cs="宋体"/>
          <w:color w:val="auto"/>
          <w:sz w:val="28"/>
          <w:szCs w:val="28"/>
          <w:highlight w:val="none"/>
          <w:lang w:val="zh-CN"/>
        </w:rPr>
      </w:pPr>
      <w:bookmarkStart w:id="303" w:name="_Toc10654"/>
      <w:bookmarkStart w:id="304" w:name="_Toc7741"/>
      <w:bookmarkStart w:id="305" w:name="_Toc27083"/>
      <w:bookmarkStart w:id="306" w:name="_Toc20571"/>
      <w:bookmarkStart w:id="307" w:name="_Toc21196"/>
      <w:bookmarkStart w:id="308" w:name="_Toc2754"/>
      <w:bookmarkStart w:id="309" w:name="_Toc24538"/>
      <w:bookmarkStart w:id="310" w:name="_Toc6613"/>
      <w:bookmarkStart w:id="311" w:name="_Toc25991"/>
      <w:bookmarkStart w:id="312" w:name="_Toc11587"/>
      <w:bookmarkStart w:id="313" w:name="_Toc22714"/>
      <w:bookmarkStart w:id="314" w:name="_Toc19727"/>
      <w:bookmarkStart w:id="315" w:name="_Toc24689"/>
      <w:bookmarkStart w:id="316" w:name="_Toc8661"/>
      <w:bookmarkStart w:id="317" w:name="_Toc17219"/>
      <w:bookmarkStart w:id="318" w:name="_Toc27952"/>
      <w:bookmarkStart w:id="319" w:name="_Toc15685"/>
      <w:r>
        <w:rPr>
          <w:rFonts w:hint="eastAsia" w:ascii="宋体" w:hAnsi="宋体" w:cs="宋体"/>
          <w:color w:val="auto"/>
          <w:sz w:val="28"/>
          <w:szCs w:val="28"/>
          <w:highlight w:val="none"/>
          <w:lang w:val="zh-CN"/>
        </w:rPr>
        <w:t>原料、主要辅助材料年需量及来源见表</w:t>
      </w:r>
      <w:r>
        <w:rPr>
          <w:rFonts w:ascii="宋体" w:hAnsi="宋体" w:cs="宋体"/>
          <w:color w:val="auto"/>
          <w:sz w:val="28"/>
          <w:szCs w:val="28"/>
          <w:highlight w:val="none"/>
        </w:rPr>
        <w:t>5</w:t>
      </w:r>
      <w:r>
        <w:rPr>
          <w:rFonts w:ascii="宋体" w:hAnsi="宋体" w:cs="宋体"/>
          <w:color w:val="auto"/>
          <w:sz w:val="28"/>
          <w:szCs w:val="28"/>
          <w:highlight w:val="none"/>
          <w:lang w:val="zh-CN"/>
        </w:rPr>
        <w:t>.1-1</w:t>
      </w:r>
      <w:r>
        <w:rPr>
          <w:rFonts w:hint="eastAsia" w:ascii="宋体" w:hAnsi="宋体" w:cs="宋体"/>
          <w:color w:val="auto"/>
          <w:sz w:val="28"/>
          <w:szCs w:val="28"/>
          <w:highlight w:val="none"/>
          <w:lang w:val="zh-CN"/>
        </w:rPr>
        <w:t>。</w:t>
      </w:r>
    </w:p>
    <w:p>
      <w:pPr>
        <w:pStyle w:val="33"/>
        <w:spacing w:line="560" w:lineRule="exact"/>
        <w:ind w:firstLine="0" w:firstLineChars="0"/>
        <w:jc w:val="center"/>
        <w:rPr>
          <w:rFonts w:ascii="宋体" w:cs="宋体"/>
          <w:color w:val="auto"/>
          <w:spacing w:val="-6"/>
          <w:sz w:val="24"/>
          <w:szCs w:val="24"/>
          <w:highlight w:val="none"/>
        </w:rPr>
      </w:pPr>
      <w:r>
        <w:rPr>
          <w:rFonts w:hint="eastAsia" w:ascii="宋体" w:hAnsi="宋体" w:cs="宋体"/>
          <w:color w:val="auto"/>
          <w:spacing w:val="-6"/>
          <w:sz w:val="24"/>
          <w:szCs w:val="24"/>
          <w:highlight w:val="none"/>
          <w:lang w:val="zh-CN"/>
        </w:rPr>
        <w:t>表</w:t>
      </w:r>
      <w:r>
        <w:rPr>
          <w:rFonts w:ascii="宋体" w:hAnsi="宋体" w:cs="宋体"/>
          <w:color w:val="auto"/>
          <w:spacing w:val="-6"/>
          <w:sz w:val="24"/>
          <w:szCs w:val="24"/>
          <w:highlight w:val="none"/>
        </w:rPr>
        <w:t>5.1</w:t>
      </w:r>
      <w:r>
        <w:rPr>
          <w:rFonts w:ascii="宋体" w:cs="宋体"/>
          <w:color w:val="auto"/>
          <w:spacing w:val="-6"/>
          <w:sz w:val="24"/>
          <w:szCs w:val="24"/>
          <w:highlight w:val="none"/>
          <w:lang w:val="zh-CN"/>
        </w:rPr>
        <w:t>-</w:t>
      </w:r>
      <w:r>
        <w:rPr>
          <w:rFonts w:ascii="宋体" w:hAnsi="宋体" w:cs="宋体"/>
          <w:color w:val="auto"/>
          <w:spacing w:val="-6"/>
          <w:sz w:val="24"/>
          <w:szCs w:val="24"/>
          <w:highlight w:val="none"/>
        </w:rPr>
        <w:t>1</w:t>
      </w:r>
      <w:r>
        <w:rPr>
          <w:rFonts w:ascii="宋体" w:hAnsi="宋体" w:cs="宋体"/>
          <w:color w:val="auto"/>
          <w:spacing w:val="-6"/>
          <w:sz w:val="24"/>
          <w:szCs w:val="24"/>
          <w:highlight w:val="none"/>
          <w:lang w:val="zh-CN"/>
        </w:rPr>
        <w:t xml:space="preserve">  </w:t>
      </w:r>
      <w:r>
        <w:rPr>
          <w:rFonts w:hint="eastAsia" w:ascii="宋体" w:hAnsi="宋体" w:cs="宋体"/>
          <w:color w:val="auto"/>
          <w:spacing w:val="-6"/>
          <w:sz w:val="24"/>
          <w:szCs w:val="24"/>
          <w:highlight w:val="none"/>
        </w:rPr>
        <w:t>原料、主要辅助材料年需量</w:t>
      </w:r>
      <w:r>
        <w:rPr>
          <w:rFonts w:hint="eastAsia" w:ascii="宋体" w:hAnsi="宋体" w:cs="宋体"/>
          <w:color w:val="auto"/>
          <w:spacing w:val="-6"/>
          <w:sz w:val="24"/>
          <w:szCs w:val="24"/>
          <w:highlight w:val="none"/>
          <w:lang w:val="zh-CN"/>
        </w:rPr>
        <w:t>及来源</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63"/>
        <w:gridCol w:w="1899"/>
        <w:gridCol w:w="1349"/>
        <w:gridCol w:w="1654"/>
        <w:gridCol w:w="25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24"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序号</w:t>
            </w:r>
          </w:p>
        </w:tc>
        <w:tc>
          <w:tcPr>
            <w:tcW w:w="1115"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名称</w:t>
            </w:r>
          </w:p>
        </w:tc>
        <w:tc>
          <w:tcPr>
            <w:tcW w:w="1350" w:type="dxa"/>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单位</w:t>
            </w:r>
          </w:p>
        </w:tc>
        <w:tc>
          <w:tcPr>
            <w:tcW w:w="1650" w:type="dxa"/>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年用量</w:t>
            </w:r>
          </w:p>
        </w:tc>
        <w:tc>
          <w:tcPr>
            <w:tcW w:w="1498"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主要来源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24" w:type="pct"/>
            <w:vAlign w:val="center"/>
          </w:tcPr>
          <w:p>
            <w:pPr>
              <w:pStyle w:val="40"/>
              <w:rPr>
                <w:rFonts w:ascii="宋体" w:cs="宋体"/>
                <w:color w:val="auto"/>
                <w:kern w:val="2"/>
                <w:szCs w:val="21"/>
                <w:highlight w:val="none"/>
                <w:lang w:val="zh-CN"/>
              </w:rPr>
            </w:pPr>
            <w:r>
              <w:rPr>
                <w:rFonts w:ascii="宋体" w:hAnsi="宋体" w:cs="宋体"/>
                <w:color w:val="auto"/>
                <w:kern w:val="2"/>
                <w:szCs w:val="21"/>
                <w:highlight w:val="none"/>
                <w:lang w:val="zh-CN"/>
              </w:rPr>
              <w:t>1</w:t>
            </w:r>
          </w:p>
        </w:tc>
        <w:tc>
          <w:tcPr>
            <w:tcW w:w="1115" w:type="pct"/>
            <w:vAlign w:val="center"/>
          </w:tcPr>
          <w:p>
            <w:pPr>
              <w:widowControl/>
              <w:jc w:val="center"/>
              <w:textAlignment w:val="center"/>
              <w:rPr>
                <w:rFonts w:ascii="宋体" w:cs="宋体"/>
                <w:color w:val="auto"/>
                <w:szCs w:val="21"/>
                <w:highlight w:val="none"/>
                <w:lang w:val="zh-CN"/>
              </w:rPr>
            </w:pPr>
            <w:r>
              <w:rPr>
                <w:rFonts w:hint="eastAsia" w:ascii="宋体" w:hAnsi="宋体" w:cs="宋体"/>
                <w:color w:val="auto"/>
                <w:kern w:val="0"/>
                <w:szCs w:val="21"/>
                <w:highlight w:val="none"/>
              </w:rPr>
              <w:t>氯气</w:t>
            </w:r>
          </w:p>
        </w:tc>
        <w:tc>
          <w:tcPr>
            <w:tcW w:w="792" w:type="pct"/>
            <w:vAlign w:val="center"/>
          </w:tcPr>
          <w:p>
            <w:pPr>
              <w:widowControl/>
              <w:jc w:val="center"/>
              <w:textAlignment w:val="center"/>
              <w:rPr>
                <w:rFonts w:hint="eastAsia" w:ascii="宋体" w:hAnsi="宋体" w:cs="宋体"/>
                <w:color w:val="auto"/>
                <w:kern w:val="0"/>
                <w:szCs w:val="21"/>
                <w:highlight w:val="none"/>
              </w:rPr>
            </w:pPr>
            <w:r>
              <w:rPr>
                <w:rFonts w:hint="eastAsia" w:ascii="宋体" w:hAnsi="宋体" w:cs="宋体"/>
                <w:color w:val="auto"/>
                <w:kern w:val="0"/>
                <w:szCs w:val="21"/>
                <w:highlight w:val="none"/>
              </w:rPr>
              <w:t>吨</w:t>
            </w:r>
          </w:p>
        </w:tc>
        <w:tc>
          <w:tcPr>
            <w:tcW w:w="1650" w:type="dxa"/>
            <w:vAlign w:val="center"/>
          </w:tcPr>
          <w:p>
            <w:pPr>
              <w:widowControl/>
              <w:jc w:val="center"/>
              <w:textAlignment w:val="center"/>
              <w:rPr>
                <w:rFonts w:hint="eastAsia" w:ascii="宋体" w:hAnsi="宋体" w:cs="宋体"/>
                <w:color w:val="auto"/>
                <w:kern w:val="0"/>
                <w:szCs w:val="21"/>
                <w:highlight w:val="none"/>
                <w:lang w:val="zh-CN"/>
              </w:rPr>
            </w:pPr>
            <w:r>
              <w:rPr>
                <w:rFonts w:hint="eastAsia" w:ascii="宋体" w:hAnsi="宋体" w:cs="宋体"/>
                <w:color w:val="auto"/>
                <w:kern w:val="0"/>
                <w:szCs w:val="21"/>
                <w:highlight w:val="none"/>
                <w:lang w:val="en-US" w:eastAsia="zh-CN"/>
              </w:rPr>
              <w:t>8387</w:t>
            </w:r>
          </w:p>
        </w:tc>
        <w:tc>
          <w:tcPr>
            <w:tcW w:w="1498" w:type="pct"/>
            <w:vAlign w:val="center"/>
          </w:tcPr>
          <w:p>
            <w:pPr>
              <w:widowControl/>
              <w:jc w:val="center"/>
              <w:textAlignment w:val="center"/>
              <w:rPr>
                <w:rFonts w:hint="eastAsia" w:ascii="宋体" w:hAnsi="宋体" w:cs="宋体"/>
                <w:color w:val="auto"/>
                <w:kern w:val="0"/>
                <w:szCs w:val="21"/>
                <w:highlight w:val="none"/>
                <w:lang w:val="zh-CN"/>
              </w:rPr>
            </w:pPr>
            <w:r>
              <w:rPr>
                <w:rFonts w:hint="eastAsia" w:ascii="宋体" w:hAnsi="宋体" w:cs="宋体"/>
                <w:color w:val="auto"/>
                <w:kern w:val="0"/>
                <w:szCs w:val="21"/>
                <w:highlight w:val="none"/>
              </w:rPr>
              <w:t>公司内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24" w:type="pct"/>
            <w:vAlign w:val="center"/>
          </w:tcPr>
          <w:p>
            <w:pPr>
              <w:pStyle w:val="40"/>
              <w:rPr>
                <w:rFonts w:ascii="宋体" w:cs="宋体"/>
                <w:color w:val="auto"/>
                <w:kern w:val="2"/>
                <w:szCs w:val="21"/>
                <w:highlight w:val="none"/>
                <w:lang w:val="zh-CN"/>
              </w:rPr>
            </w:pPr>
            <w:r>
              <w:rPr>
                <w:rFonts w:ascii="宋体" w:hAnsi="宋体" w:cs="宋体"/>
                <w:color w:val="auto"/>
                <w:kern w:val="2"/>
                <w:szCs w:val="21"/>
                <w:highlight w:val="none"/>
                <w:lang w:val="zh-CN"/>
              </w:rPr>
              <w:t>2</w:t>
            </w:r>
          </w:p>
        </w:tc>
        <w:tc>
          <w:tcPr>
            <w:tcW w:w="1115" w:type="pct"/>
            <w:vAlign w:val="center"/>
          </w:tcPr>
          <w:p>
            <w:pPr>
              <w:widowControl/>
              <w:jc w:val="center"/>
              <w:textAlignment w:val="center"/>
              <w:rPr>
                <w:rFonts w:hint="eastAsia" w:ascii="宋体" w:eastAsia="宋体" w:cs="宋体"/>
                <w:color w:val="auto"/>
                <w:szCs w:val="21"/>
                <w:highlight w:val="none"/>
                <w:lang w:val="zh-CN" w:eastAsia="zh-CN"/>
              </w:rPr>
            </w:pPr>
            <w:r>
              <w:rPr>
                <w:rFonts w:hint="eastAsia" w:ascii="宋体" w:hAnsi="宋体" w:cs="宋体"/>
                <w:color w:val="auto"/>
                <w:kern w:val="0"/>
                <w:szCs w:val="21"/>
                <w:highlight w:val="none"/>
              </w:rPr>
              <w:t>离子膜碱</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lang w:val="en-US" w:eastAsia="zh-CN"/>
              </w:rPr>
              <w:t>折百</w:t>
            </w:r>
            <w:r>
              <w:rPr>
                <w:rFonts w:hint="eastAsia" w:ascii="宋体" w:hAnsi="宋体" w:cs="宋体"/>
                <w:color w:val="auto"/>
                <w:kern w:val="0"/>
                <w:szCs w:val="21"/>
                <w:highlight w:val="none"/>
                <w:lang w:eastAsia="zh-CN"/>
              </w:rPr>
              <w:t>）</w:t>
            </w:r>
          </w:p>
        </w:tc>
        <w:tc>
          <w:tcPr>
            <w:tcW w:w="792" w:type="pct"/>
            <w:vAlign w:val="center"/>
          </w:tcPr>
          <w:p>
            <w:pPr>
              <w:widowControl/>
              <w:jc w:val="center"/>
              <w:textAlignment w:val="center"/>
              <w:rPr>
                <w:rFonts w:hint="eastAsia" w:ascii="宋体" w:hAnsi="宋体" w:cs="宋体"/>
                <w:color w:val="auto"/>
                <w:kern w:val="0"/>
                <w:szCs w:val="21"/>
                <w:highlight w:val="none"/>
              </w:rPr>
            </w:pPr>
            <w:r>
              <w:rPr>
                <w:rFonts w:hint="eastAsia" w:ascii="宋体" w:hAnsi="宋体" w:cs="宋体"/>
                <w:color w:val="auto"/>
                <w:kern w:val="0"/>
                <w:szCs w:val="21"/>
                <w:highlight w:val="none"/>
              </w:rPr>
              <w:t>吨</w:t>
            </w:r>
          </w:p>
        </w:tc>
        <w:tc>
          <w:tcPr>
            <w:tcW w:w="1650" w:type="dxa"/>
            <w:vAlign w:val="center"/>
          </w:tcPr>
          <w:p>
            <w:pPr>
              <w:widowControl/>
              <w:jc w:val="center"/>
              <w:textAlignment w:val="center"/>
              <w:rPr>
                <w:rFonts w:hint="eastAsia" w:ascii="宋体" w:hAnsi="宋体" w:cs="宋体"/>
                <w:color w:val="auto"/>
                <w:kern w:val="0"/>
                <w:szCs w:val="21"/>
                <w:highlight w:val="none"/>
                <w:lang w:val="zh-CN"/>
              </w:rPr>
            </w:pPr>
            <w:r>
              <w:rPr>
                <w:rFonts w:hint="eastAsia" w:ascii="宋体" w:hAnsi="宋体" w:cs="宋体"/>
                <w:color w:val="auto"/>
                <w:kern w:val="0"/>
                <w:szCs w:val="21"/>
                <w:highlight w:val="none"/>
                <w:lang w:val="en-US" w:eastAsia="zh-CN"/>
              </w:rPr>
              <w:t>9450</w:t>
            </w:r>
          </w:p>
        </w:tc>
        <w:tc>
          <w:tcPr>
            <w:tcW w:w="1498" w:type="pct"/>
            <w:vAlign w:val="center"/>
          </w:tcPr>
          <w:p>
            <w:pPr>
              <w:widowControl/>
              <w:jc w:val="center"/>
              <w:textAlignment w:val="center"/>
              <w:rPr>
                <w:rFonts w:hint="eastAsia" w:ascii="宋体" w:hAnsi="宋体" w:cs="宋体"/>
                <w:color w:val="auto"/>
                <w:kern w:val="0"/>
                <w:szCs w:val="21"/>
                <w:highlight w:val="none"/>
                <w:lang w:val="zh-CN"/>
              </w:rPr>
            </w:pPr>
            <w:r>
              <w:rPr>
                <w:rFonts w:hint="eastAsia" w:ascii="宋体" w:hAnsi="宋体" w:cs="宋体"/>
                <w:color w:val="auto"/>
                <w:kern w:val="0"/>
                <w:szCs w:val="21"/>
                <w:highlight w:val="none"/>
              </w:rPr>
              <w:t>公司内</w:t>
            </w:r>
          </w:p>
        </w:tc>
      </w:tr>
    </w:tbl>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公用工程年需量及来源见表</w:t>
      </w:r>
      <w:r>
        <w:rPr>
          <w:rFonts w:ascii="宋体" w:hAnsi="宋体" w:cs="宋体"/>
          <w:color w:val="auto"/>
          <w:sz w:val="28"/>
          <w:szCs w:val="28"/>
          <w:highlight w:val="none"/>
          <w:lang w:val="zh-CN"/>
        </w:rPr>
        <w:t>5.1-2</w:t>
      </w:r>
      <w:r>
        <w:rPr>
          <w:rFonts w:hint="eastAsia" w:ascii="宋体" w:hAnsi="宋体" w:cs="宋体"/>
          <w:color w:val="auto"/>
          <w:sz w:val="28"/>
          <w:szCs w:val="28"/>
          <w:highlight w:val="none"/>
          <w:lang w:val="zh-CN"/>
        </w:rPr>
        <w:t>。</w:t>
      </w:r>
    </w:p>
    <w:p>
      <w:pPr>
        <w:pStyle w:val="33"/>
        <w:spacing w:line="560" w:lineRule="exact"/>
        <w:ind w:firstLine="0" w:firstLineChars="0"/>
        <w:jc w:val="center"/>
        <w:rPr>
          <w:rFonts w:ascii="宋体" w:cs="宋体"/>
          <w:color w:val="auto"/>
          <w:spacing w:val="-6"/>
          <w:sz w:val="24"/>
          <w:szCs w:val="24"/>
          <w:highlight w:val="none"/>
          <w:lang w:val="zh-CN"/>
        </w:rPr>
      </w:pPr>
      <w:r>
        <w:rPr>
          <w:rFonts w:hint="eastAsia" w:ascii="宋体" w:hAnsi="宋体" w:cs="宋体"/>
          <w:color w:val="auto"/>
          <w:spacing w:val="-6"/>
          <w:sz w:val="24"/>
          <w:szCs w:val="24"/>
          <w:highlight w:val="none"/>
          <w:lang w:val="zh-CN"/>
        </w:rPr>
        <w:t>表</w:t>
      </w:r>
      <w:r>
        <w:rPr>
          <w:rFonts w:ascii="宋体" w:hAnsi="宋体" w:cs="宋体"/>
          <w:color w:val="auto"/>
          <w:spacing w:val="-6"/>
          <w:sz w:val="24"/>
          <w:szCs w:val="24"/>
          <w:highlight w:val="none"/>
          <w:lang w:val="zh-CN"/>
        </w:rPr>
        <w:t xml:space="preserve">5.1-2 </w:t>
      </w:r>
      <w:r>
        <w:rPr>
          <w:rFonts w:hint="eastAsia" w:ascii="宋体" w:hAnsi="宋体" w:cs="宋体"/>
          <w:color w:val="auto"/>
          <w:spacing w:val="-6"/>
          <w:sz w:val="24"/>
          <w:szCs w:val="24"/>
          <w:highlight w:val="none"/>
          <w:lang w:val="zh-CN"/>
        </w:rPr>
        <w:t>公用工程年需量及来源</w:t>
      </w:r>
    </w:p>
    <w:tbl>
      <w:tblPr>
        <w:tblStyle w:val="16"/>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8"/>
        <w:gridCol w:w="1919"/>
        <w:gridCol w:w="1352"/>
        <w:gridCol w:w="1643"/>
        <w:gridCol w:w="2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09"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序号</w:t>
            </w:r>
          </w:p>
        </w:tc>
        <w:tc>
          <w:tcPr>
            <w:tcW w:w="1126"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名称</w:t>
            </w:r>
          </w:p>
        </w:tc>
        <w:tc>
          <w:tcPr>
            <w:tcW w:w="793"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单位</w:t>
            </w:r>
          </w:p>
        </w:tc>
        <w:tc>
          <w:tcPr>
            <w:tcW w:w="964"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年用量</w:t>
            </w:r>
          </w:p>
        </w:tc>
        <w:tc>
          <w:tcPr>
            <w:tcW w:w="1505"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供应来源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09" w:type="pct"/>
            <w:vAlign w:val="center"/>
          </w:tcPr>
          <w:p>
            <w:pPr>
              <w:pStyle w:val="40"/>
              <w:rPr>
                <w:rFonts w:ascii="宋体" w:cs="宋体"/>
                <w:color w:val="auto"/>
                <w:kern w:val="2"/>
                <w:szCs w:val="21"/>
                <w:highlight w:val="none"/>
                <w:lang w:val="zh-CN"/>
              </w:rPr>
            </w:pPr>
            <w:r>
              <w:rPr>
                <w:rFonts w:ascii="宋体" w:hAnsi="宋体" w:cs="宋体"/>
                <w:color w:val="auto"/>
                <w:kern w:val="2"/>
                <w:szCs w:val="21"/>
                <w:highlight w:val="none"/>
                <w:lang w:val="zh-CN"/>
              </w:rPr>
              <w:t>1</w:t>
            </w:r>
          </w:p>
        </w:tc>
        <w:tc>
          <w:tcPr>
            <w:tcW w:w="1126"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rPr>
              <w:t>动力</w:t>
            </w:r>
            <w:r>
              <w:rPr>
                <w:rFonts w:hint="eastAsia" w:ascii="宋体" w:hAnsi="宋体" w:cs="宋体"/>
                <w:color w:val="auto"/>
                <w:kern w:val="2"/>
                <w:szCs w:val="21"/>
                <w:highlight w:val="none"/>
                <w:lang w:val="zh-CN"/>
              </w:rPr>
              <w:t>电</w:t>
            </w:r>
          </w:p>
        </w:tc>
        <w:tc>
          <w:tcPr>
            <w:tcW w:w="793"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rPr>
              <w:t>万</w:t>
            </w:r>
            <w:r>
              <w:rPr>
                <w:rFonts w:ascii="宋体" w:hAnsi="宋体" w:cs="宋体"/>
                <w:color w:val="auto"/>
                <w:kern w:val="2"/>
                <w:szCs w:val="21"/>
                <w:highlight w:val="none"/>
                <w:lang w:val="zh-CN"/>
              </w:rPr>
              <w:t>kwh</w:t>
            </w:r>
          </w:p>
        </w:tc>
        <w:tc>
          <w:tcPr>
            <w:tcW w:w="964" w:type="pct"/>
            <w:vAlign w:val="center"/>
          </w:tcPr>
          <w:p>
            <w:pPr>
              <w:pStyle w:val="40"/>
              <w:rPr>
                <w:rFonts w:ascii="宋体" w:cs="宋体"/>
                <w:color w:val="auto"/>
                <w:kern w:val="2"/>
                <w:szCs w:val="21"/>
                <w:highlight w:val="none"/>
              </w:rPr>
            </w:pPr>
            <w:r>
              <w:rPr>
                <w:rFonts w:ascii="宋体" w:hAnsi="宋体" w:cs="宋体"/>
                <w:color w:val="auto"/>
                <w:kern w:val="2"/>
                <w:szCs w:val="21"/>
                <w:highlight w:val="none"/>
              </w:rPr>
              <w:t>40</w:t>
            </w:r>
          </w:p>
        </w:tc>
        <w:tc>
          <w:tcPr>
            <w:tcW w:w="1505" w:type="pct"/>
            <w:vAlign w:val="center"/>
          </w:tcPr>
          <w:p>
            <w:pPr>
              <w:pStyle w:val="40"/>
              <w:rPr>
                <w:rFonts w:ascii="宋体" w:cs="宋体"/>
                <w:color w:val="auto"/>
                <w:kern w:val="2"/>
                <w:szCs w:val="21"/>
                <w:highlight w:val="none"/>
                <w:lang w:val="zh-CN"/>
              </w:rPr>
            </w:pPr>
            <w:r>
              <w:rPr>
                <w:rFonts w:hint="eastAsia" w:ascii="宋体" w:hAnsi="宋体" w:cs="宋体"/>
                <w:color w:val="auto"/>
                <w:kern w:val="2"/>
                <w:szCs w:val="21"/>
                <w:highlight w:val="none"/>
                <w:lang w:val="zh-CN"/>
              </w:rPr>
              <w:t>园区供电系统</w:t>
            </w:r>
          </w:p>
        </w:tc>
      </w:tr>
      <w:bookmarkEnd w:id="303"/>
    </w:tbl>
    <w:p>
      <w:pPr>
        <w:pStyle w:val="33"/>
        <w:spacing w:line="560" w:lineRule="exact"/>
        <w:ind w:firstLine="31680"/>
        <w:rPr>
          <w:rFonts w:ascii="宋体" w:cs="宋体"/>
          <w:color w:val="auto"/>
          <w:sz w:val="28"/>
          <w:szCs w:val="28"/>
          <w:highlight w:val="none"/>
        </w:rPr>
      </w:pPr>
      <w:bookmarkStart w:id="320" w:name="_Toc840"/>
      <w:r>
        <w:rPr>
          <w:rFonts w:ascii="宋体" w:hAnsi="宋体" w:cs="宋体"/>
          <w:color w:val="auto"/>
          <w:sz w:val="28"/>
          <w:szCs w:val="28"/>
          <w:highlight w:val="none"/>
        </w:rPr>
        <w:t xml:space="preserve">5.1.2 </w:t>
      </w:r>
      <w:r>
        <w:rPr>
          <w:rFonts w:hint="eastAsia" w:ascii="宋体" w:hAnsi="宋体" w:cs="宋体"/>
          <w:color w:val="auto"/>
          <w:sz w:val="28"/>
          <w:szCs w:val="28"/>
          <w:highlight w:val="none"/>
        </w:rPr>
        <w:t>原材料来源与产品运输方式</w:t>
      </w:r>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本项目原材料氯气主要来源包括：电解槽生产的氯气经过总管，通过管道输送至本项目。</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本项目原材料离子膜碱来源于公司内盐化事业部，通过管道输送至本项目。</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产品经管道输送至中间槽，通过汽车运输向外销售。</w:t>
      </w:r>
    </w:p>
    <w:p>
      <w:pPr>
        <w:pStyle w:val="33"/>
        <w:spacing w:line="560" w:lineRule="exact"/>
        <w:ind w:firstLine="31680"/>
        <w:rPr>
          <w:rFonts w:ascii="宋体" w:cs="宋体"/>
          <w:color w:val="auto"/>
          <w:sz w:val="28"/>
          <w:szCs w:val="28"/>
          <w:highlight w:val="none"/>
        </w:rPr>
      </w:pPr>
      <w:bookmarkStart w:id="321" w:name="_Toc31704"/>
      <w:bookmarkStart w:id="322" w:name="_Toc3932"/>
      <w:r>
        <w:rPr>
          <w:rFonts w:ascii="宋体" w:hAnsi="宋体" w:cs="宋体"/>
          <w:color w:val="auto"/>
          <w:sz w:val="28"/>
          <w:szCs w:val="28"/>
          <w:highlight w:val="none"/>
        </w:rPr>
        <w:t xml:space="preserve">5.1.3 </w:t>
      </w:r>
      <w:r>
        <w:rPr>
          <w:rFonts w:hint="eastAsia" w:ascii="宋体" w:hAnsi="宋体" w:cs="宋体"/>
          <w:color w:val="auto"/>
          <w:sz w:val="28"/>
          <w:szCs w:val="28"/>
          <w:highlight w:val="none"/>
        </w:rPr>
        <w:t>公用工程来源</w:t>
      </w:r>
      <w:bookmarkEnd w:id="321"/>
      <w:bookmarkEnd w:id="322"/>
    </w:p>
    <w:p>
      <w:pPr>
        <w:pStyle w:val="33"/>
        <w:spacing w:line="560" w:lineRule="exact"/>
        <w:ind w:firstLine="31680"/>
        <w:rPr>
          <w:rFonts w:ascii="宋体" w:cs="宋体"/>
          <w:color w:val="auto"/>
          <w:sz w:val="28"/>
          <w:szCs w:val="28"/>
          <w:highlight w:val="none"/>
        </w:rPr>
      </w:pPr>
      <w:bookmarkStart w:id="323" w:name="_Toc438214639"/>
      <w:r>
        <w:rPr>
          <w:rFonts w:hint="eastAsia" w:ascii="宋体" w:hAnsi="宋体" w:cs="宋体"/>
          <w:color w:val="auto"/>
          <w:sz w:val="28"/>
          <w:szCs w:val="28"/>
          <w:highlight w:val="none"/>
        </w:rPr>
        <w:t>（</w:t>
      </w:r>
      <w:r>
        <w:rPr>
          <w:rFonts w:ascii="宋体" w:hAnsi="宋体" w:cs="宋体"/>
          <w:color w:val="auto"/>
          <w:sz w:val="28"/>
          <w:szCs w:val="28"/>
          <w:highlight w:val="none"/>
        </w:rPr>
        <w:t>1</w:t>
      </w:r>
      <w:r>
        <w:rPr>
          <w:rFonts w:hint="eastAsia" w:ascii="宋体" w:hAnsi="宋体" w:cs="宋体"/>
          <w:color w:val="auto"/>
          <w:sz w:val="28"/>
          <w:szCs w:val="28"/>
          <w:highlight w:val="none"/>
        </w:rPr>
        <w:t>）生活用水</w:t>
      </w:r>
      <w:bookmarkEnd w:id="323"/>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由公司现有自来水管网供应。</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水质符合《生活饮用水卫生标准》</w:t>
      </w:r>
      <w:r>
        <w:rPr>
          <w:rFonts w:ascii="宋体" w:hAnsi="宋体" w:cs="宋体"/>
          <w:color w:val="auto"/>
          <w:sz w:val="28"/>
          <w:szCs w:val="28"/>
          <w:highlight w:val="none"/>
        </w:rPr>
        <w:t>GB5749-2022</w:t>
      </w:r>
      <w:r>
        <w:rPr>
          <w:rFonts w:hint="eastAsia" w:ascii="宋体" w:hAnsi="宋体" w:cs="宋体"/>
          <w:color w:val="auto"/>
          <w:sz w:val="28"/>
          <w:szCs w:val="28"/>
          <w:highlight w:val="none"/>
        </w:rPr>
        <w:t>，水压不小于</w:t>
      </w:r>
      <w:r>
        <w:rPr>
          <w:rFonts w:ascii="宋体" w:hAnsi="宋体" w:cs="宋体"/>
          <w:color w:val="auto"/>
          <w:sz w:val="28"/>
          <w:szCs w:val="28"/>
          <w:highlight w:val="none"/>
        </w:rPr>
        <w:t>0.4Mpa</w:t>
      </w:r>
      <w:r>
        <w:rPr>
          <w:rFonts w:hint="eastAsia" w:ascii="宋体" w:hAnsi="宋体" w:cs="宋体"/>
          <w:color w:val="auto"/>
          <w:sz w:val="28"/>
          <w:szCs w:val="28"/>
          <w:highlight w:val="none"/>
        </w:rPr>
        <w:t>。</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2</w:t>
      </w:r>
      <w:r>
        <w:rPr>
          <w:rFonts w:hint="eastAsia" w:ascii="宋体" w:hAnsi="宋体" w:cs="宋体"/>
          <w:color w:val="auto"/>
          <w:sz w:val="28"/>
          <w:szCs w:val="28"/>
          <w:highlight w:val="none"/>
        </w:rPr>
        <w:t>）</w:t>
      </w:r>
      <w:bookmarkStart w:id="324" w:name="_Toc438214642"/>
      <w:bookmarkStart w:id="325" w:name="_Toc359153802"/>
      <w:bookmarkStart w:id="326" w:name="_Toc403132780"/>
      <w:r>
        <w:rPr>
          <w:rFonts w:hint="eastAsia" w:ascii="宋体" w:hAnsi="宋体" w:cs="宋体"/>
          <w:color w:val="auto"/>
          <w:sz w:val="28"/>
          <w:szCs w:val="28"/>
          <w:highlight w:val="none"/>
        </w:rPr>
        <w:t>仪表</w:t>
      </w:r>
      <w:bookmarkEnd w:id="324"/>
      <w:bookmarkEnd w:id="325"/>
      <w:bookmarkEnd w:id="326"/>
      <w:r>
        <w:rPr>
          <w:rFonts w:hint="eastAsia" w:ascii="宋体" w:hAnsi="宋体" w:cs="宋体"/>
          <w:color w:val="auto"/>
          <w:sz w:val="28"/>
          <w:szCs w:val="28"/>
          <w:highlight w:val="none"/>
        </w:rPr>
        <w:t>空气、氮气</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公司现有公用工程管网，为本项目供给仪表空气和氮气；满足本项目需求。</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3</w:t>
      </w:r>
      <w:r>
        <w:rPr>
          <w:rFonts w:hint="eastAsia" w:ascii="宋体" w:hAnsi="宋体" w:cs="宋体"/>
          <w:color w:val="auto"/>
          <w:sz w:val="28"/>
          <w:szCs w:val="28"/>
          <w:highlight w:val="none"/>
        </w:rPr>
        <w:t>）电</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接入园区供电管网。</w:t>
      </w:r>
    </w:p>
    <w:p>
      <w:pPr>
        <w:pStyle w:val="33"/>
        <w:spacing w:line="560" w:lineRule="exact"/>
        <w:ind w:firstLine="31680"/>
        <w:outlineLvl w:val="1"/>
        <w:rPr>
          <w:rFonts w:ascii="宋体" w:cs="宋体"/>
          <w:color w:val="auto"/>
          <w:sz w:val="28"/>
          <w:szCs w:val="28"/>
          <w:highlight w:val="none"/>
        </w:rPr>
      </w:pPr>
      <w:bookmarkStart w:id="327" w:name="_Toc28197"/>
      <w:bookmarkStart w:id="328" w:name="_Toc6527"/>
      <w:bookmarkStart w:id="329" w:name="_Toc7007"/>
      <w:bookmarkStart w:id="330" w:name="_Toc503433239"/>
      <w:bookmarkStart w:id="331" w:name="_Toc13904"/>
      <w:r>
        <w:rPr>
          <w:rFonts w:ascii="宋体" w:hAnsi="宋体" w:cs="宋体"/>
          <w:color w:val="auto"/>
          <w:sz w:val="28"/>
          <w:szCs w:val="28"/>
          <w:highlight w:val="none"/>
        </w:rPr>
        <w:t>5.2</w:t>
      </w:r>
      <w:r>
        <w:rPr>
          <w:rFonts w:hint="eastAsia" w:ascii="宋体" w:hAnsi="宋体" w:cs="宋体"/>
          <w:color w:val="auto"/>
          <w:sz w:val="28"/>
          <w:szCs w:val="28"/>
          <w:highlight w:val="none"/>
        </w:rPr>
        <w:t>主要原辅材料市场分析</w:t>
      </w:r>
      <w:bookmarkEnd w:id="327"/>
      <w:bookmarkEnd w:id="328"/>
      <w:bookmarkEnd w:id="329"/>
      <w:bookmarkEnd w:id="330"/>
      <w:bookmarkEnd w:id="331"/>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本项目的原辅材料均为普通化工原辅材料，均来源公司内部，可以确保辅材料的供应。</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仪表空气、氮气来自公司现有公用工程管网。</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动力电来自国家电网，地区电力供应有保障。</w:t>
      </w:r>
    </w:p>
    <w:p>
      <w:pPr>
        <w:pStyle w:val="33"/>
        <w:spacing w:line="560" w:lineRule="exact"/>
        <w:ind w:firstLine="31680"/>
        <w:outlineLvl w:val="1"/>
        <w:rPr>
          <w:rFonts w:ascii="宋体" w:cs="宋体"/>
          <w:color w:val="auto"/>
          <w:sz w:val="28"/>
          <w:szCs w:val="28"/>
          <w:highlight w:val="none"/>
        </w:rPr>
      </w:pPr>
      <w:bookmarkStart w:id="332" w:name="_Toc8469"/>
      <w:bookmarkStart w:id="333" w:name="_Toc497731137"/>
      <w:bookmarkStart w:id="334" w:name="_Toc18324"/>
      <w:bookmarkStart w:id="335" w:name="_Toc503433241"/>
      <w:bookmarkStart w:id="336" w:name="_Toc27865"/>
      <w:r>
        <w:rPr>
          <w:rFonts w:ascii="宋体" w:hAnsi="宋体" w:cs="宋体"/>
          <w:color w:val="auto"/>
          <w:sz w:val="28"/>
          <w:szCs w:val="28"/>
          <w:highlight w:val="none"/>
        </w:rPr>
        <w:t>5.3</w:t>
      </w:r>
      <w:r>
        <w:rPr>
          <w:rFonts w:hint="eastAsia" w:ascii="宋体" w:hAnsi="宋体" w:cs="宋体"/>
          <w:color w:val="auto"/>
          <w:sz w:val="28"/>
          <w:szCs w:val="28"/>
          <w:highlight w:val="none"/>
        </w:rPr>
        <w:t>资源利用的合理性</w:t>
      </w:r>
      <w:bookmarkEnd w:id="332"/>
      <w:bookmarkEnd w:id="333"/>
      <w:bookmarkEnd w:id="334"/>
      <w:bookmarkEnd w:id="335"/>
      <w:bookmarkEnd w:id="336"/>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本项目实施后，能源分级利用，符合国家节能环保的总要求，经济效益和社会效益非常显著。</w:t>
      </w:r>
    </w:p>
    <w:p>
      <w:pPr>
        <w:pStyle w:val="33"/>
        <w:spacing w:line="560" w:lineRule="exact"/>
        <w:ind w:firstLine="31680"/>
        <w:rPr>
          <w:rFonts w:ascii="宋体" w:cs="宋体"/>
          <w:color w:val="auto"/>
          <w:sz w:val="28"/>
          <w:szCs w:val="28"/>
          <w:highlight w:val="none"/>
        </w:rPr>
      </w:pPr>
    </w:p>
    <w:p>
      <w:pPr>
        <w:pStyle w:val="34"/>
        <w:rPr>
          <w:color w:val="auto"/>
          <w:highlight w:val="none"/>
        </w:rPr>
        <w:sectPr>
          <w:pgSz w:w="11906" w:h="16838"/>
          <w:pgMar w:top="1440" w:right="1800" w:bottom="1440" w:left="1800" w:header="851" w:footer="992" w:gutter="0"/>
          <w:cols w:space="425" w:num="1"/>
          <w:docGrid w:type="lines" w:linePitch="312" w:charSpace="0"/>
        </w:sectPr>
      </w:pPr>
    </w:p>
    <w:p>
      <w:pPr>
        <w:pStyle w:val="2"/>
        <w:spacing w:before="0" w:after="0" w:line="560" w:lineRule="exact"/>
        <w:jc w:val="center"/>
        <w:rPr>
          <w:rFonts w:ascii="宋体" w:cs="宋体"/>
          <w:color w:val="auto"/>
          <w:sz w:val="32"/>
          <w:szCs w:val="32"/>
          <w:highlight w:val="none"/>
          <w:lang w:val="zh-CN"/>
        </w:rPr>
      </w:pPr>
      <w:bookmarkStart w:id="337" w:name="_Toc30577"/>
      <w:bookmarkStart w:id="338" w:name="_Toc29060"/>
      <w:bookmarkStart w:id="339" w:name="_Toc25030_WPSOffice_Level1"/>
      <w:bookmarkStart w:id="340" w:name="_Toc19989"/>
      <w:bookmarkStart w:id="341" w:name="_Toc18885"/>
      <w:bookmarkStart w:id="342" w:name="_Toc20908"/>
      <w:r>
        <w:rPr>
          <w:rFonts w:hint="eastAsia" w:ascii="宋体" w:hAnsi="宋体" w:cs="宋体"/>
          <w:color w:val="auto"/>
          <w:sz w:val="32"/>
          <w:szCs w:val="32"/>
          <w:highlight w:val="none"/>
          <w:lang w:val="zh-CN"/>
        </w:rPr>
        <w:t>第六章</w:t>
      </w:r>
      <w:r>
        <w:rPr>
          <w:rFonts w:ascii="宋体" w:hAnsi="宋体" w:cs="宋体"/>
          <w:color w:val="auto"/>
          <w:sz w:val="32"/>
          <w:szCs w:val="32"/>
          <w:highlight w:val="none"/>
          <w:lang w:val="zh-CN"/>
        </w:rPr>
        <w:t xml:space="preserve"> </w:t>
      </w:r>
      <w:r>
        <w:rPr>
          <w:rFonts w:hint="eastAsia" w:ascii="宋体" w:hAnsi="宋体" w:cs="宋体"/>
          <w:color w:val="auto"/>
          <w:sz w:val="32"/>
          <w:szCs w:val="32"/>
          <w:highlight w:val="none"/>
          <w:lang w:val="zh-CN"/>
        </w:rPr>
        <w:t>建设条件和</w:t>
      </w:r>
      <w:r>
        <w:rPr>
          <w:rFonts w:hint="eastAsia" w:ascii="宋体" w:hAnsi="宋体" w:cs="宋体"/>
          <w:color w:val="auto"/>
          <w:sz w:val="32"/>
          <w:szCs w:val="32"/>
          <w:highlight w:val="none"/>
        </w:rPr>
        <w:t>项目</w:t>
      </w:r>
      <w:r>
        <w:rPr>
          <w:rFonts w:hint="eastAsia" w:ascii="宋体" w:hAnsi="宋体" w:cs="宋体"/>
          <w:color w:val="auto"/>
          <w:sz w:val="32"/>
          <w:szCs w:val="32"/>
          <w:highlight w:val="none"/>
          <w:lang w:val="zh-CN"/>
        </w:rPr>
        <w:t>方案</w:t>
      </w:r>
      <w:bookmarkEnd w:id="337"/>
      <w:bookmarkEnd w:id="338"/>
      <w:bookmarkEnd w:id="339"/>
      <w:bookmarkEnd w:id="340"/>
      <w:bookmarkEnd w:id="341"/>
      <w:bookmarkEnd w:id="342"/>
    </w:p>
    <w:p>
      <w:pPr>
        <w:pStyle w:val="41"/>
        <w:spacing w:line="560" w:lineRule="exact"/>
        <w:ind w:firstLine="31680"/>
        <w:outlineLvl w:val="1"/>
        <w:rPr>
          <w:rFonts w:ascii="宋体" w:cs="宋体"/>
          <w:color w:val="auto"/>
          <w:sz w:val="28"/>
          <w:szCs w:val="28"/>
          <w:highlight w:val="none"/>
        </w:rPr>
      </w:pPr>
      <w:bookmarkStart w:id="343" w:name="_Toc11331_WPSOffice_Level2"/>
      <w:bookmarkStart w:id="344" w:name="_Toc15165"/>
      <w:bookmarkStart w:id="345" w:name="_Toc29221"/>
      <w:bookmarkStart w:id="346" w:name="_Toc31506"/>
      <w:bookmarkStart w:id="347" w:name="_Toc10426"/>
      <w:bookmarkStart w:id="348" w:name="_Toc10762"/>
      <w:r>
        <w:rPr>
          <w:rFonts w:ascii="宋体" w:hAnsi="宋体" w:cs="宋体"/>
          <w:color w:val="auto"/>
          <w:sz w:val="28"/>
          <w:szCs w:val="28"/>
          <w:highlight w:val="none"/>
        </w:rPr>
        <w:t>6.1</w:t>
      </w:r>
      <w:r>
        <w:rPr>
          <w:rFonts w:hint="eastAsia" w:ascii="宋体" w:hAnsi="宋体" w:cs="宋体"/>
          <w:color w:val="auto"/>
          <w:sz w:val="28"/>
          <w:szCs w:val="28"/>
          <w:highlight w:val="none"/>
        </w:rPr>
        <w:t>建设条件</w:t>
      </w:r>
      <w:bookmarkEnd w:id="343"/>
      <w:bookmarkEnd w:id="344"/>
      <w:bookmarkEnd w:id="345"/>
      <w:bookmarkEnd w:id="346"/>
      <w:bookmarkEnd w:id="347"/>
      <w:bookmarkEnd w:id="348"/>
    </w:p>
    <w:p>
      <w:pPr>
        <w:pStyle w:val="41"/>
        <w:spacing w:line="560" w:lineRule="exact"/>
        <w:ind w:firstLine="31680"/>
        <w:rPr>
          <w:rFonts w:ascii="宋体" w:cs="宋体"/>
          <w:color w:val="auto"/>
          <w:sz w:val="28"/>
          <w:szCs w:val="28"/>
          <w:highlight w:val="none"/>
        </w:rPr>
      </w:pPr>
      <w:bookmarkStart w:id="349" w:name="_Toc2142"/>
      <w:bookmarkStart w:id="350" w:name="_Toc303673258"/>
      <w:bookmarkStart w:id="351" w:name="_Toc298179622"/>
      <w:bookmarkStart w:id="352" w:name="_Toc23972_WPSOffice_Level2"/>
      <w:bookmarkStart w:id="353" w:name="_Toc84_WPSOffice_Level2"/>
      <w:bookmarkStart w:id="354" w:name="_Toc12561_WPSOffice_Level2"/>
      <w:bookmarkStart w:id="355" w:name="_Toc7207_WPSOffice_Level2"/>
      <w:r>
        <w:rPr>
          <w:rFonts w:ascii="宋体" w:hAnsi="宋体" w:cs="宋体"/>
          <w:color w:val="auto"/>
          <w:sz w:val="28"/>
          <w:szCs w:val="28"/>
          <w:highlight w:val="none"/>
        </w:rPr>
        <w:t>6.1.1</w:t>
      </w:r>
      <w:r>
        <w:rPr>
          <w:rFonts w:hint="eastAsia" w:ascii="宋体" w:hAnsi="宋体" w:cs="宋体"/>
          <w:color w:val="auto"/>
          <w:sz w:val="28"/>
          <w:szCs w:val="28"/>
          <w:highlight w:val="none"/>
        </w:rPr>
        <w:t>自然条件</w:t>
      </w:r>
      <w:bookmarkEnd w:id="349"/>
      <w:bookmarkEnd w:id="350"/>
      <w:bookmarkEnd w:id="351"/>
    </w:p>
    <w:p>
      <w:pPr>
        <w:pStyle w:val="41"/>
        <w:spacing w:line="560" w:lineRule="exact"/>
        <w:ind w:firstLine="31680"/>
        <w:rPr>
          <w:rFonts w:ascii="宋体" w:cs="宋体"/>
          <w:color w:val="auto"/>
          <w:sz w:val="28"/>
          <w:szCs w:val="28"/>
          <w:highlight w:val="none"/>
        </w:rPr>
      </w:pPr>
      <w:bookmarkStart w:id="356" w:name="_Toc25884"/>
      <w:r>
        <w:rPr>
          <w:rFonts w:ascii="宋体" w:hAnsi="宋体" w:cs="宋体"/>
          <w:color w:val="auto"/>
          <w:sz w:val="28"/>
          <w:szCs w:val="28"/>
          <w:highlight w:val="none"/>
        </w:rPr>
        <w:t xml:space="preserve">6.1.1.1  </w:t>
      </w:r>
      <w:r>
        <w:rPr>
          <w:rFonts w:hint="eastAsia" w:ascii="宋体" w:hAnsi="宋体" w:cs="宋体"/>
          <w:color w:val="auto"/>
          <w:sz w:val="28"/>
          <w:szCs w:val="28"/>
          <w:highlight w:val="none"/>
        </w:rPr>
        <w:t>地理位置</w:t>
      </w:r>
      <w:bookmarkEnd w:id="356"/>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厂区位于镇江新区（即镇江经济开发区），镇江新区位于江苏省镇江市东部，规划总面积</w:t>
      </w:r>
      <w:r>
        <w:rPr>
          <w:rFonts w:ascii="宋体" w:hAnsi="宋体" w:cs="宋体"/>
          <w:color w:val="auto"/>
          <w:sz w:val="28"/>
          <w:szCs w:val="28"/>
          <w:highlight w:val="none"/>
        </w:rPr>
        <w:t>219</w:t>
      </w:r>
      <w:r>
        <w:rPr>
          <w:rFonts w:hint="eastAsia" w:ascii="宋体" w:hAnsi="宋体" w:cs="宋体"/>
          <w:color w:val="auto"/>
          <w:sz w:val="28"/>
          <w:szCs w:val="28"/>
          <w:highlight w:val="none"/>
        </w:rPr>
        <w:t>平方公里。</w:t>
      </w:r>
    </w:p>
    <w:p>
      <w:pPr>
        <w:pStyle w:val="41"/>
        <w:spacing w:line="560" w:lineRule="exact"/>
        <w:ind w:firstLine="31680"/>
        <w:rPr>
          <w:rFonts w:ascii="宋体" w:cs="宋体"/>
          <w:color w:val="auto"/>
          <w:sz w:val="28"/>
          <w:szCs w:val="28"/>
          <w:highlight w:val="none"/>
        </w:rPr>
      </w:pPr>
      <w:bookmarkStart w:id="357" w:name="_Toc30994"/>
      <w:r>
        <w:rPr>
          <w:rFonts w:ascii="宋体" w:hAnsi="宋体" w:cs="宋体"/>
          <w:color w:val="auto"/>
          <w:sz w:val="28"/>
          <w:szCs w:val="28"/>
          <w:highlight w:val="none"/>
        </w:rPr>
        <w:t xml:space="preserve">6.1.1.2  </w:t>
      </w:r>
      <w:r>
        <w:rPr>
          <w:rFonts w:hint="eastAsia" w:ascii="宋体" w:hAnsi="宋体" w:cs="宋体"/>
          <w:color w:val="auto"/>
          <w:sz w:val="28"/>
          <w:szCs w:val="28"/>
          <w:highlight w:val="none"/>
        </w:rPr>
        <w:t>工程地质、水文条件及地震烈度</w:t>
      </w:r>
      <w:bookmarkEnd w:id="357"/>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镇江市地处宁镇反射弧的东段，地质构造运动形成的褶皱带，构造轴线主要为北东和北北东，断裂活动以断层走向为主，横断层为次，在断裂作用影响下形成小型凹陷盆地，被第四系下蜀黄土堆积所覆盖。</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境内地带性土壤主要为渗育型水稻土亚类的灰沙土土属和潴育型水稻土亚类的黄泥土土属。灰沙土土属棕灰色，质地均一偏粘，为粉质中壤土，土壤肥力属较高类型；黄泥土土属灰黄色土，土层深厚，质地均一偏粘，为粉质重壤土，土壤肥力属上等类型。适合于稻、麦、棉水旱轮换作业。</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镇江新区的地层单元属扬子区下扬子地层分区，地层自上元古届震旦系至新生界第四系发育良好，为第四系沉积层所覆盖，其地层自老到新为上元古界、古生界、中生界、新生界。</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镇江新区地处丘陵地带，地形高低起伏，山丘地高程</w:t>
      </w:r>
      <w:r>
        <w:rPr>
          <w:rFonts w:ascii="宋体" w:hAnsi="宋体" w:cs="宋体"/>
          <w:color w:val="auto"/>
          <w:sz w:val="28"/>
          <w:szCs w:val="28"/>
          <w:highlight w:val="none"/>
        </w:rPr>
        <w:t>20-110m</w:t>
      </w:r>
      <w:r>
        <w:rPr>
          <w:rFonts w:hint="eastAsia" w:ascii="宋体" w:hAnsi="宋体" w:cs="宋体"/>
          <w:color w:val="auto"/>
          <w:sz w:val="28"/>
          <w:szCs w:val="28"/>
          <w:highlight w:val="none"/>
        </w:rPr>
        <w:t>左右，区域内平均高程</w:t>
      </w:r>
      <w:r>
        <w:rPr>
          <w:rFonts w:ascii="宋体" w:hAnsi="宋体" w:cs="宋体"/>
          <w:color w:val="auto"/>
          <w:sz w:val="28"/>
          <w:szCs w:val="28"/>
          <w:highlight w:val="none"/>
        </w:rPr>
        <w:t>6m</w:t>
      </w:r>
      <w:r>
        <w:rPr>
          <w:rFonts w:hint="eastAsia" w:ascii="宋体" w:hAnsi="宋体" w:cs="宋体"/>
          <w:color w:val="auto"/>
          <w:sz w:val="28"/>
          <w:szCs w:val="28"/>
          <w:highlight w:val="none"/>
        </w:rPr>
        <w:t>。据钻探，该地区地层厚度和岩层性比较均匀，具有较大的承载力和较好的稳定性，工程地质条件良好。</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镇江新区的主要河流为长江、孩溪河和大港河。大港河和孩溪河为辅助性河流，其河水主要有来源于雨水及长江丰水期倒灌之水，主要功能为灌溉、排涝等。</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该区段长江为长江主航道，区段内历年最大流量为</w:t>
      </w:r>
      <w:r>
        <w:rPr>
          <w:rFonts w:ascii="宋体" w:hAnsi="宋体" w:cs="宋体"/>
          <w:color w:val="auto"/>
          <w:sz w:val="28"/>
          <w:szCs w:val="28"/>
          <w:highlight w:val="none"/>
        </w:rPr>
        <w:t>92600</w:t>
      </w:r>
      <w:r>
        <w:rPr>
          <w:rFonts w:hint="eastAsia" w:ascii="宋体" w:hAnsi="宋体" w:cs="宋体"/>
          <w:color w:val="auto"/>
          <w:sz w:val="28"/>
          <w:szCs w:val="28"/>
          <w:highlight w:val="none"/>
        </w:rPr>
        <w:t>立方米</w:t>
      </w:r>
      <w:r>
        <w:rPr>
          <w:rFonts w:ascii="宋体" w:hAnsi="宋体" w:cs="宋体"/>
          <w:color w:val="auto"/>
          <w:sz w:val="28"/>
          <w:szCs w:val="28"/>
          <w:highlight w:val="none"/>
        </w:rPr>
        <w:t>/</w:t>
      </w:r>
      <w:r>
        <w:rPr>
          <w:rFonts w:hint="eastAsia" w:ascii="宋体" w:hAnsi="宋体" w:cs="宋体"/>
          <w:color w:val="auto"/>
          <w:sz w:val="28"/>
          <w:szCs w:val="28"/>
          <w:highlight w:val="none"/>
        </w:rPr>
        <w:t>秒，历年最小枯水流量为</w:t>
      </w:r>
      <w:r>
        <w:rPr>
          <w:rFonts w:ascii="宋体" w:hAnsi="宋体" w:cs="宋体"/>
          <w:color w:val="auto"/>
          <w:sz w:val="28"/>
          <w:szCs w:val="28"/>
          <w:highlight w:val="none"/>
        </w:rPr>
        <w:t>4670</w:t>
      </w:r>
      <w:r>
        <w:rPr>
          <w:rFonts w:hint="eastAsia" w:ascii="宋体" w:hAnsi="宋体" w:cs="宋体"/>
          <w:color w:val="auto"/>
          <w:sz w:val="28"/>
          <w:szCs w:val="28"/>
          <w:highlight w:val="none"/>
        </w:rPr>
        <w:t>立方米</w:t>
      </w:r>
      <w:r>
        <w:rPr>
          <w:rFonts w:ascii="宋体" w:hAnsi="宋体" w:cs="宋体"/>
          <w:color w:val="auto"/>
          <w:sz w:val="28"/>
          <w:szCs w:val="28"/>
          <w:highlight w:val="none"/>
        </w:rPr>
        <w:t>/</w:t>
      </w:r>
      <w:r>
        <w:rPr>
          <w:rFonts w:hint="eastAsia" w:ascii="宋体" w:hAnsi="宋体" w:cs="宋体"/>
          <w:color w:val="auto"/>
          <w:sz w:val="28"/>
          <w:szCs w:val="28"/>
          <w:highlight w:val="none"/>
        </w:rPr>
        <w:t>秒，多年平均流量为</w:t>
      </w:r>
      <w:r>
        <w:rPr>
          <w:rFonts w:ascii="宋体" w:hAnsi="宋体" w:cs="宋体"/>
          <w:color w:val="auto"/>
          <w:sz w:val="28"/>
          <w:szCs w:val="28"/>
          <w:highlight w:val="none"/>
        </w:rPr>
        <w:t>28700</w:t>
      </w:r>
      <w:r>
        <w:rPr>
          <w:rFonts w:hint="eastAsia" w:ascii="宋体" w:hAnsi="宋体" w:cs="宋体"/>
          <w:color w:val="auto"/>
          <w:sz w:val="28"/>
          <w:szCs w:val="28"/>
          <w:highlight w:val="none"/>
        </w:rPr>
        <w:t>立方米</w:t>
      </w:r>
      <w:r>
        <w:rPr>
          <w:rFonts w:ascii="宋体" w:hAnsi="宋体" w:cs="宋体"/>
          <w:color w:val="auto"/>
          <w:sz w:val="28"/>
          <w:szCs w:val="28"/>
          <w:highlight w:val="none"/>
        </w:rPr>
        <w:t>/</w:t>
      </w:r>
      <w:r>
        <w:rPr>
          <w:rFonts w:hint="eastAsia" w:ascii="宋体" w:hAnsi="宋体" w:cs="宋体"/>
          <w:color w:val="auto"/>
          <w:sz w:val="28"/>
          <w:szCs w:val="28"/>
          <w:highlight w:val="none"/>
        </w:rPr>
        <w:t>秒，洪水期的最大平均流速</w:t>
      </w:r>
      <w:r>
        <w:rPr>
          <w:rFonts w:ascii="宋体" w:hAnsi="宋体" w:cs="宋体"/>
          <w:color w:val="auto"/>
          <w:sz w:val="28"/>
          <w:szCs w:val="28"/>
          <w:highlight w:val="none"/>
        </w:rPr>
        <w:t>2</w:t>
      </w:r>
      <w:r>
        <w:rPr>
          <w:rFonts w:hint="eastAsia" w:ascii="宋体" w:hAnsi="宋体" w:cs="宋体"/>
          <w:color w:val="auto"/>
          <w:sz w:val="28"/>
          <w:szCs w:val="28"/>
          <w:highlight w:val="none"/>
        </w:rPr>
        <w:t>米</w:t>
      </w:r>
      <w:r>
        <w:rPr>
          <w:rFonts w:ascii="宋体" w:hAnsi="宋体" w:cs="宋体"/>
          <w:color w:val="auto"/>
          <w:sz w:val="28"/>
          <w:szCs w:val="28"/>
          <w:highlight w:val="none"/>
        </w:rPr>
        <w:t>/</w:t>
      </w:r>
      <w:r>
        <w:rPr>
          <w:rFonts w:hint="eastAsia" w:ascii="宋体" w:hAnsi="宋体" w:cs="宋体"/>
          <w:color w:val="auto"/>
          <w:sz w:val="28"/>
          <w:szCs w:val="28"/>
          <w:highlight w:val="none"/>
        </w:rPr>
        <w:t>秒，枯水期最小流速</w:t>
      </w:r>
      <w:r>
        <w:rPr>
          <w:rFonts w:ascii="宋体" w:hAnsi="宋体" w:cs="宋体"/>
          <w:color w:val="auto"/>
          <w:sz w:val="28"/>
          <w:szCs w:val="28"/>
          <w:highlight w:val="none"/>
        </w:rPr>
        <w:t>0.5</w:t>
      </w:r>
      <w:r>
        <w:rPr>
          <w:rFonts w:hint="eastAsia" w:ascii="宋体" w:hAnsi="宋体" w:cs="宋体"/>
          <w:color w:val="auto"/>
          <w:sz w:val="28"/>
          <w:szCs w:val="28"/>
          <w:highlight w:val="none"/>
        </w:rPr>
        <w:t>米</w:t>
      </w:r>
      <w:r>
        <w:rPr>
          <w:rFonts w:ascii="宋体" w:hAnsi="宋体" w:cs="宋体"/>
          <w:color w:val="auto"/>
          <w:sz w:val="28"/>
          <w:szCs w:val="28"/>
          <w:highlight w:val="none"/>
        </w:rPr>
        <w:t>/</w:t>
      </w:r>
      <w:r>
        <w:rPr>
          <w:rFonts w:hint="eastAsia" w:ascii="宋体" w:hAnsi="宋体" w:cs="宋体"/>
          <w:color w:val="auto"/>
          <w:sz w:val="28"/>
          <w:szCs w:val="28"/>
          <w:highlight w:val="none"/>
        </w:rPr>
        <w:t>秒，多年平均流速</w:t>
      </w:r>
      <w:r>
        <w:rPr>
          <w:rFonts w:ascii="宋体" w:hAnsi="宋体" w:cs="宋体"/>
          <w:color w:val="auto"/>
          <w:sz w:val="28"/>
          <w:szCs w:val="28"/>
          <w:highlight w:val="none"/>
        </w:rPr>
        <w:t>1</w:t>
      </w:r>
      <w:r>
        <w:rPr>
          <w:rFonts w:hint="eastAsia" w:ascii="宋体" w:hAnsi="宋体" w:cs="宋体"/>
          <w:color w:val="auto"/>
          <w:sz w:val="28"/>
          <w:szCs w:val="28"/>
          <w:highlight w:val="none"/>
        </w:rPr>
        <w:t>米</w:t>
      </w:r>
      <w:r>
        <w:rPr>
          <w:rFonts w:ascii="宋体" w:hAnsi="宋体" w:cs="宋体"/>
          <w:color w:val="auto"/>
          <w:sz w:val="28"/>
          <w:szCs w:val="28"/>
          <w:highlight w:val="none"/>
        </w:rPr>
        <w:t>/</w:t>
      </w:r>
      <w:r>
        <w:rPr>
          <w:rFonts w:hint="eastAsia" w:ascii="宋体" w:hAnsi="宋体" w:cs="宋体"/>
          <w:color w:val="auto"/>
          <w:sz w:val="28"/>
          <w:szCs w:val="28"/>
          <w:highlight w:val="none"/>
        </w:rPr>
        <w:t>秒。该区段受长江潮汐影响，每日涨落潮两次，落潮历时大于涨潮历时，最大潮差</w:t>
      </w:r>
      <w:r>
        <w:rPr>
          <w:rFonts w:ascii="宋体" w:hAnsi="宋体" w:cs="宋体"/>
          <w:color w:val="auto"/>
          <w:sz w:val="28"/>
          <w:szCs w:val="28"/>
          <w:highlight w:val="none"/>
        </w:rPr>
        <w:t>2.1</w:t>
      </w:r>
      <w:r>
        <w:rPr>
          <w:rFonts w:hint="eastAsia" w:ascii="宋体" w:hAnsi="宋体" w:cs="宋体"/>
          <w:color w:val="auto"/>
          <w:sz w:val="28"/>
          <w:szCs w:val="28"/>
          <w:highlight w:val="none"/>
        </w:rPr>
        <w:t>米，多年平均潮差</w:t>
      </w:r>
      <w:r>
        <w:rPr>
          <w:rFonts w:ascii="宋体" w:hAnsi="宋体" w:cs="宋体"/>
          <w:color w:val="auto"/>
          <w:sz w:val="28"/>
          <w:szCs w:val="28"/>
          <w:highlight w:val="none"/>
        </w:rPr>
        <w:t>0.95</w:t>
      </w:r>
      <w:r>
        <w:rPr>
          <w:rFonts w:hint="eastAsia" w:ascii="宋体" w:hAnsi="宋体" w:cs="宋体"/>
          <w:color w:val="auto"/>
          <w:sz w:val="28"/>
          <w:szCs w:val="28"/>
          <w:highlight w:val="none"/>
        </w:rPr>
        <w:t>米。</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场区地下水类型为孔隙潜水，主要赋存于地势低洼处的人工填土和</w:t>
      </w:r>
      <w:r>
        <w:rPr>
          <w:rFonts w:ascii="宋体" w:hAnsi="宋体" w:cs="宋体"/>
          <w:color w:val="auto"/>
          <w:sz w:val="28"/>
          <w:szCs w:val="28"/>
          <w:highlight w:val="none"/>
        </w:rPr>
        <w:t>2</w:t>
      </w:r>
      <w:r>
        <w:rPr>
          <w:rFonts w:hint="eastAsia" w:ascii="宋体" w:hAnsi="宋体" w:cs="宋体"/>
          <w:color w:val="auto"/>
          <w:sz w:val="28"/>
          <w:szCs w:val="28"/>
          <w:highlight w:val="none"/>
        </w:rPr>
        <w:t>层土中。填土层透水性、富水性较好，</w:t>
      </w:r>
      <w:r>
        <w:rPr>
          <w:rFonts w:ascii="宋体" w:hAnsi="宋体" w:cs="宋体"/>
          <w:color w:val="auto"/>
          <w:sz w:val="28"/>
          <w:szCs w:val="28"/>
          <w:highlight w:val="none"/>
        </w:rPr>
        <w:t>2</w:t>
      </w:r>
      <w:r>
        <w:rPr>
          <w:rFonts w:hint="eastAsia" w:ascii="宋体" w:hAnsi="宋体" w:cs="宋体"/>
          <w:color w:val="auto"/>
          <w:sz w:val="28"/>
          <w:szCs w:val="28"/>
          <w:highlight w:val="none"/>
        </w:rPr>
        <w:t>层土饱含地下水，但给水性、透水性差，主要接受大气降水和地表水入渗补给，以蒸发和地下侧向径流方式排泄，勘察施工期间测到初见水位埋深</w:t>
      </w:r>
      <w:r>
        <w:rPr>
          <w:rFonts w:ascii="宋体" w:hAnsi="宋体" w:cs="宋体"/>
          <w:color w:val="auto"/>
          <w:sz w:val="28"/>
          <w:szCs w:val="28"/>
          <w:highlight w:val="none"/>
        </w:rPr>
        <w:t>1.20</w:t>
      </w:r>
      <w:r>
        <w:rPr>
          <w:rFonts w:hint="eastAsia" w:ascii="宋体" w:hAnsi="宋体" w:cs="宋体"/>
          <w:color w:val="auto"/>
          <w:sz w:val="28"/>
          <w:szCs w:val="28"/>
          <w:highlight w:val="none"/>
        </w:rPr>
        <w:t>－</w:t>
      </w:r>
      <w:r>
        <w:rPr>
          <w:rFonts w:ascii="宋体" w:hAnsi="宋体" w:cs="宋体"/>
          <w:color w:val="auto"/>
          <w:sz w:val="28"/>
          <w:szCs w:val="28"/>
          <w:highlight w:val="none"/>
        </w:rPr>
        <w:t>2.30m</w:t>
      </w:r>
      <w:r>
        <w:rPr>
          <w:rFonts w:hint="eastAsia" w:ascii="宋体" w:hAnsi="宋体" w:cs="宋体"/>
          <w:color w:val="auto"/>
          <w:sz w:val="28"/>
          <w:szCs w:val="28"/>
          <w:highlight w:val="none"/>
        </w:rPr>
        <w:t>，相应标高</w:t>
      </w:r>
      <w:r>
        <w:rPr>
          <w:rFonts w:ascii="宋体" w:hAnsi="宋体" w:cs="宋体"/>
          <w:color w:val="auto"/>
          <w:sz w:val="28"/>
          <w:szCs w:val="28"/>
          <w:highlight w:val="none"/>
        </w:rPr>
        <w:t>13.50</w:t>
      </w:r>
      <w:r>
        <w:rPr>
          <w:rFonts w:hint="eastAsia" w:ascii="宋体" w:hAnsi="宋体" w:cs="宋体"/>
          <w:color w:val="auto"/>
          <w:sz w:val="28"/>
          <w:szCs w:val="28"/>
          <w:highlight w:val="none"/>
        </w:rPr>
        <w:t>－</w:t>
      </w:r>
      <w:r>
        <w:rPr>
          <w:rFonts w:ascii="宋体" w:hAnsi="宋体" w:cs="宋体"/>
          <w:color w:val="auto"/>
          <w:sz w:val="28"/>
          <w:szCs w:val="28"/>
          <w:highlight w:val="none"/>
        </w:rPr>
        <w:t>15.93m</w:t>
      </w:r>
      <w:r>
        <w:rPr>
          <w:rFonts w:hint="eastAsia" w:ascii="宋体" w:hAnsi="宋体" w:cs="宋体"/>
          <w:color w:val="auto"/>
          <w:sz w:val="28"/>
          <w:szCs w:val="28"/>
          <w:highlight w:val="none"/>
        </w:rPr>
        <w:t>，量测的部分钻孔的静止水位埋深</w:t>
      </w:r>
      <w:r>
        <w:rPr>
          <w:rFonts w:ascii="宋体" w:hAnsi="宋体" w:cs="宋体"/>
          <w:color w:val="auto"/>
          <w:sz w:val="28"/>
          <w:szCs w:val="28"/>
          <w:highlight w:val="none"/>
        </w:rPr>
        <w:t>0.90</w:t>
      </w:r>
      <w:r>
        <w:rPr>
          <w:rFonts w:hint="eastAsia" w:ascii="宋体" w:hAnsi="宋体" w:cs="宋体"/>
          <w:color w:val="auto"/>
          <w:sz w:val="28"/>
          <w:szCs w:val="28"/>
          <w:highlight w:val="none"/>
        </w:rPr>
        <w:t>－</w:t>
      </w:r>
      <w:r>
        <w:rPr>
          <w:rFonts w:ascii="宋体" w:hAnsi="宋体" w:cs="宋体"/>
          <w:color w:val="auto"/>
          <w:sz w:val="28"/>
          <w:szCs w:val="28"/>
          <w:highlight w:val="none"/>
        </w:rPr>
        <w:t>1.90</w:t>
      </w:r>
      <w:r>
        <w:rPr>
          <w:rFonts w:hint="eastAsia" w:ascii="宋体" w:hAnsi="宋体" w:cs="宋体"/>
          <w:color w:val="auto"/>
          <w:sz w:val="28"/>
          <w:szCs w:val="28"/>
          <w:highlight w:val="none"/>
        </w:rPr>
        <w:t>，相应标高</w:t>
      </w:r>
      <w:r>
        <w:rPr>
          <w:rFonts w:ascii="宋体" w:hAnsi="宋体" w:cs="宋体"/>
          <w:color w:val="auto"/>
          <w:sz w:val="28"/>
          <w:szCs w:val="28"/>
          <w:highlight w:val="none"/>
        </w:rPr>
        <w:t>13.90</w:t>
      </w:r>
      <w:r>
        <w:rPr>
          <w:rFonts w:hint="eastAsia" w:ascii="宋体" w:hAnsi="宋体" w:cs="宋体"/>
          <w:color w:val="auto"/>
          <w:sz w:val="28"/>
          <w:szCs w:val="28"/>
          <w:highlight w:val="none"/>
        </w:rPr>
        <w:t>－</w:t>
      </w:r>
      <w:r>
        <w:rPr>
          <w:rFonts w:ascii="宋体" w:hAnsi="宋体" w:cs="宋体"/>
          <w:color w:val="auto"/>
          <w:sz w:val="28"/>
          <w:szCs w:val="28"/>
          <w:highlight w:val="none"/>
        </w:rPr>
        <w:t>16.23m</w:t>
      </w:r>
      <w:r>
        <w:rPr>
          <w:rFonts w:hint="eastAsia" w:ascii="宋体" w:hAnsi="宋体" w:cs="宋体"/>
          <w:color w:val="auto"/>
          <w:sz w:val="28"/>
          <w:szCs w:val="28"/>
          <w:highlight w:val="none"/>
        </w:rPr>
        <w:t>，地下水水位年变幅约</w:t>
      </w:r>
      <w:r>
        <w:rPr>
          <w:rFonts w:ascii="宋体" w:hAnsi="宋体" w:cs="宋体"/>
          <w:color w:val="auto"/>
          <w:sz w:val="28"/>
          <w:szCs w:val="28"/>
          <w:highlight w:val="none"/>
        </w:rPr>
        <w:t>1.5-2.0m</w:t>
      </w:r>
      <w:r>
        <w:rPr>
          <w:rFonts w:hint="eastAsia" w:ascii="宋体" w:hAnsi="宋体" w:cs="宋体"/>
          <w:color w:val="auto"/>
          <w:sz w:val="28"/>
          <w:szCs w:val="28"/>
          <w:highlight w:val="none"/>
        </w:rPr>
        <w:t>。</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场地地下水对混凝土结构具微腐蚀性，对钢筋混凝土结构中的钢筋具微腐蚀性。</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拟建场地地基土对混凝土结构具微腐蚀性，对钢筋混凝土结构中的钢筋具微腐蚀性。</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本区地震烈度为</w:t>
      </w:r>
      <w:r>
        <w:rPr>
          <w:rFonts w:ascii="宋体" w:hAnsi="宋体" w:cs="宋体"/>
          <w:color w:val="auto"/>
          <w:sz w:val="28"/>
          <w:szCs w:val="28"/>
          <w:highlight w:val="none"/>
        </w:rPr>
        <w:t>7</w:t>
      </w:r>
      <w:r>
        <w:rPr>
          <w:rFonts w:hint="eastAsia" w:ascii="宋体" w:hAnsi="宋体" w:cs="宋体"/>
          <w:color w:val="auto"/>
          <w:sz w:val="28"/>
          <w:szCs w:val="28"/>
          <w:highlight w:val="none"/>
        </w:rPr>
        <w:t>级，设计基本地震加速度值为</w:t>
      </w:r>
      <w:r>
        <w:rPr>
          <w:rFonts w:ascii="宋体" w:hAnsi="宋体" w:cs="宋体"/>
          <w:color w:val="auto"/>
          <w:sz w:val="28"/>
          <w:szCs w:val="28"/>
          <w:highlight w:val="none"/>
        </w:rPr>
        <w:t>0.15g</w:t>
      </w:r>
      <w:r>
        <w:rPr>
          <w:rFonts w:hint="eastAsia" w:ascii="宋体" w:hAnsi="宋体" w:cs="宋体"/>
          <w:color w:val="auto"/>
          <w:sz w:val="28"/>
          <w:szCs w:val="28"/>
          <w:highlight w:val="none"/>
        </w:rPr>
        <w:t>，设计地震分组为第一组，场地土类型属中软土，建筑场地类别为Ⅱ类；特征周期为</w:t>
      </w:r>
      <w:r>
        <w:rPr>
          <w:rFonts w:ascii="宋体" w:hAnsi="宋体" w:cs="宋体"/>
          <w:color w:val="auto"/>
          <w:sz w:val="28"/>
          <w:szCs w:val="28"/>
          <w:highlight w:val="none"/>
        </w:rPr>
        <w:t>0.35s</w:t>
      </w:r>
      <w:r>
        <w:rPr>
          <w:rFonts w:hint="eastAsia" w:ascii="宋体" w:hAnsi="宋体" w:cs="宋体"/>
          <w:color w:val="auto"/>
          <w:sz w:val="28"/>
          <w:szCs w:val="28"/>
          <w:highlight w:val="none"/>
        </w:rPr>
        <w:t>。该场地属抗震一般地段，设计和施工时可不考虑地基地震液化问题。</w:t>
      </w:r>
    </w:p>
    <w:p>
      <w:pPr>
        <w:pStyle w:val="41"/>
        <w:spacing w:line="560" w:lineRule="exact"/>
        <w:ind w:firstLine="31680"/>
        <w:rPr>
          <w:rFonts w:ascii="宋体" w:cs="宋体"/>
          <w:color w:val="auto"/>
          <w:sz w:val="28"/>
          <w:szCs w:val="28"/>
          <w:highlight w:val="none"/>
        </w:rPr>
      </w:pPr>
      <w:bookmarkStart w:id="358" w:name="_Toc6350"/>
      <w:r>
        <w:rPr>
          <w:rFonts w:ascii="宋体" w:hAnsi="宋体" w:cs="宋体"/>
          <w:color w:val="auto"/>
          <w:sz w:val="28"/>
          <w:szCs w:val="28"/>
          <w:highlight w:val="none"/>
        </w:rPr>
        <w:t xml:space="preserve">6.1.1.3 </w:t>
      </w:r>
      <w:r>
        <w:rPr>
          <w:rFonts w:hint="eastAsia" w:ascii="宋体" w:hAnsi="宋体" w:cs="宋体"/>
          <w:color w:val="auto"/>
          <w:sz w:val="28"/>
          <w:szCs w:val="28"/>
          <w:highlight w:val="none"/>
        </w:rPr>
        <w:t>气象条件</w:t>
      </w:r>
      <w:bookmarkEnd w:id="358"/>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镇江新区位于中纬地区，属北亚热带季风气候，太阳高度角比较大，日照充足，无霜期</w:t>
      </w:r>
      <w:r>
        <w:rPr>
          <w:rFonts w:ascii="宋体" w:hAnsi="宋体" w:cs="宋体"/>
          <w:color w:val="auto"/>
          <w:sz w:val="28"/>
          <w:szCs w:val="28"/>
          <w:highlight w:val="none"/>
        </w:rPr>
        <w:t>238</w:t>
      </w:r>
      <w:r>
        <w:rPr>
          <w:rFonts w:hint="eastAsia" w:ascii="宋体" w:hAnsi="宋体" w:cs="宋体"/>
          <w:color w:val="auto"/>
          <w:sz w:val="28"/>
          <w:szCs w:val="28"/>
          <w:highlight w:val="none"/>
        </w:rPr>
        <w:t>天，日照时数</w:t>
      </w:r>
      <w:r>
        <w:rPr>
          <w:rFonts w:ascii="宋体" w:hAnsi="宋体" w:cs="宋体"/>
          <w:color w:val="auto"/>
          <w:sz w:val="28"/>
          <w:szCs w:val="28"/>
          <w:highlight w:val="none"/>
        </w:rPr>
        <w:t>2057.2</w:t>
      </w:r>
      <w:r>
        <w:rPr>
          <w:rFonts w:hint="eastAsia" w:ascii="宋体" w:hAnsi="宋体" w:cs="宋体"/>
          <w:color w:val="auto"/>
          <w:sz w:val="28"/>
          <w:szCs w:val="28"/>
          <w:highlight w:val="none"/>
        </w:rPr>
        <w:t>小时，气温温和湿润，四季分明，雨量丰沛。</w:t>
      </w:r>
    </w:p>
    <w:p>
      <w:pPr>
        <w:pStyle w:val="41"/>
        <w:numPr>
          <w:ilvl w:val="0"/>
          <w:numId w:val="3"/>
        </w:numPr>
        <w:spacing w:line="560" w:lineRule="exact"/>
        <w:ind w:left="0" w:firstLine="31680"/>
        <w:rPr>
          <w:rFonts w:ascii="宋体" w:cs="宋体"/>
          <w:color w:val="auto"/>
          <w:sz w:val="28"/>
          <w:szCs w:val="28"/>
          <w:highlight w:val="none"/>
        </w:rPr>
      </w:pPr>
      <w:r>
        <w:rPr>
          <w:rFonts w:hint="eastAsia" w:ascii="宋体" w:hAnsi="宋体" w:cs="宋体"/>
          <w:color w:val="auto"/>
          <w:sz w:val="28"/>
          <w:szCs w:val="28"/>
          <w:highlight w:val="none"/>
        </w:rPr>
        <w:t>气温：</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历年平均气温：</w:t>
      </w:r>
      <w:r>
        <w:rPr>
          <w:rFonts w:ascii="宋体" w:hAnsi="宋体" w:cs="宋体"/>
          <w:color w:val="auto"/>
          <w:sz w:val="28"/>
          <w:szCs w:val="28"/>
          <w:highlight w:val="none"/>
        </w:rPr>
        <w:t>15.5</w:t>
      </w:r>
      <w:r>
        <w:rPr>
          <w:rFonts w:hint="eastAsia" w:ascii="宋体" w:hAnsi="宋体" w:cs="宋体"/>
          <w:color w:val="auto"/>
          <w:sz w:val="28"/>
          <w:szCs w:val="28"/>
          <w:highlight w:val="none"/>
        </w:rPr>
        <w:t>℃</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极端最高气温：</w:t>
      </w:r>
      <w:r>
        <w:rPr>
          <w:rFonts w:ascii="宋体" w:hAnsi="宋体" w:cs="宋体"/>
          <w:color w:val="auto"/>
          <w:sz w:val="28"/>
          <w:szCs w:val="28"/>
          <w:highlight w:val="none"/>
        </w:rPr>
        <w:t>40.9</w:t>
      </w:r>
      <w:r>
        <w:rPr>
          <w:rFonts w:hint="eastAsia" w:ascii="宋体" w:hAnsi="宋体" w:cs="宋体"/>
          <w:color w:val="auto"/>
          <w:sz w:val="28"/>
          <w:szCs w:val="28"/>
          <w:highlight w:val="none"/>
        </w:rPr>
        <w:t>℃，</w:t>
      </w:r>
      <w:r>
        <w:rPr>
          <w:rFonts w:ascii="宋体" w:hAnsi="宋体" w:cs="宋体"/>
          <w:color w:val="auto"/>
          <w:sz w:val="28"/>
          <w:szCs w:val="28"/>
          <w:highlight w:val="none"/>
        </w:rPr>
        <w:t>1959</w:t>
      </w:r>
      <w:r>
        <w:rPr>
          <w:rFonts w:hint="eastAsia" w:ascii="宋体" w:hAnsi="宋体" w:cs="宋体"/>
          <w:color w:val="auto"/>
          <w:sz w:val="28"/>
          <w:szCs w:val="28"/>
          <w:highlight w:val="none"/>
        </w:rPr>
        <w:t>年</w:t>
      </w:r>
      <w:r>
        <w:rPr>
          <w:rFonts w:ascii="宋体" w:hAnsi="宋体" w:cs="宋体"/>
          <w:color w:val="auto"/>
          <w:sz w:val="28"/>
          <w:szCs w:val="28"/>
          <w:highlight w:val="none"/>
        </w:rPr>
        <w:t>8</w:t>
      </w:r>
      <w:r>
        <w:rPr>
          <w:rFonts w:hint="eastAsia" w:ascii="宋体" w:hAnsi="宋体" w:cs="宋体"/>
          <w:color w:val="auto"/>
          <w:sz w:val="28"/>
          <w:szCs w:val="28"/>
          <w:highlight w:val="none"/>
        </w:rPr>
        <w:t>月</w:t>
      </w:r>
      <w:r>
        <w:rPr>
          <w:rFonts w:ascii="宋体" w:hAnsi="宋体" w:cs="宋体"/>
          <w:color w:val="auto"/>
          <w:sz w:val="28"/>
          <w:szCs w:val="28"/>
          <w:highlight w:val="none"/>
        </w:rPr>
        <w:t>22</w:t>
      </w:r>
      <w:r>
        <w:rPr>
          <w:rFonts w:hint="eastAsia" w:ascii="宋体" w:hAnsi="宋体" w:cs="宋体"/>
          <w:color w:val="auto"/>
          <w:sz w:val="28"/>
          <w:szCs w:val="28"/>
          <w:highlight w:val="none"/>
        </w:rPr>
        <w:t>日</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极端最低气温：</w:t>
      </w:r>
      <w:r>
        <w:rPr>
          <w:rFonts w:ascii="宋体" w:hAnsi="宋体" w:cs="宋体"/>
          <w:color w:val="auto"/>
          <w:sz w:val="28"/>
          <w:szCs w:val="28"/>
          <w:highlight w:val="none"/>
        </w:rPr>
        <w:t>-12.0</w:t>
      </w:r>
      <w:r>
        <w:rPr>
          <w:rFonts w:hint="eastAsia" w:ascii="宋体" w:hAnsi="宋体" w:cs="宋体"/>
          <w:color w:val="auto"/>
          <w:sz w:val="28"/>
          <w:szCs w:val="28"/>
          <w:highlight w:val="none"/>
        </w:rPr>
        <w:t>℃，</w:t>
      </w:r>
      <w:r>
        <w:rPr>
          <w:rFonts w:ascii="宋体" w:hAnsi="宋体" w:cs="宋体"/>
          <w:color w:val="auto"/>
          <w:sz w:val="28"/>
          <w:szCs w:val="28"/>
          <w:highlight w:val="none"/>
        </w:rPr>
        <w:t>1969</w:t>
      </w:r>
      <w:r>
        <w:rPr>
          <w:rFonts w:hint="eastAsia" w:ascii="宋体" w:hAnsi="宋体" w:cs="宋体"/>
          <w:color w:val="auto"/>
          <w:sz w:val="28"/>
          <w:szCs w:val="28"/>
          <w:highlight w:val="none"/>
        </w:rPr>
        <w:t>年</w:t>
      </w:r>
      <w:r>
        <w:rPr>
          <w:rFonts w:ascii="宋体" w:hAnsi="宋体" w:cs="宋体"/>
          <w:color w:val="auto"/>
          <w:sz w:val="28"/>
          <w:szCs w:val="28"/>
          <w:highlight w:val="none"/>
        </w:rPr>
        <w:t>2</w:t>
      </w:r>
      <w:r>
        <w:rPr>
          <w:rFonts w:hint="eastAsia" w:ascii="宋体" w:hAnsi="宋体" w:cs="宋体"/>
          <w:color w:val="auto"/>
          <w:sz w:val="28"/>
          <w:szCs w:val="28"/>
          <w:highlight w:val="none"/>
        </w:rPr>
        <w:t>月</w:t>
      </w:r>
      <w:r>
        <w:rPr>
          <w:rFonts w:ascii="宋体" w:hAnsi="宋体" w:cs="宋体"/>
          <w:color w:val="auto"/>
          <w:sz w:val="28"/>
          <w:szCs w:val="28"/>
          <w:highlight w:val="none"/>
        </w:rPr>
        <w:t>5</w:t>
      </w:r>
      <w:r>
        <w:rPr>
          <w:rFonts w:hint="eastAsia" w:ascii="宋体" w:hAnsi="宋体" w:cs="宋体"/>
          <w:color w:val="auto"/>
          <w:sz w:val="28"/>
          <w:szCs w:val="28"/>
          <w:highlight w:val="none"/>
        </w:rPr>
        <w:t>日，</w:t>
      </w:r>
      <w:r>
        <w:rPr>
          <w:rFonts w:ascii="宋体" w:hAnsi="宋体" w:cs="宋体"/>
          <w:color w:val="auto"/>
          <w:sz w:val="28"/>
          <w:szCs w:val="28"/>
          <w:highlight w:val="none"/>
        </w:rPr>
        <w:t>1955</w:t>
      </w:r>
      <w:r>
        <w:rPr>
          <w:rFonts w:hint="eastAsia" w:ascii="宋体" w:hAnsi="宋体" w:cs="宋体"/>
          <w:color w:val="auto"/>
          <w:sz w:val="28"/>
          <w:szCs w:val="28"/>
          <w:highlight w:val="none"/>
        </w:rPr>
        <w:t>年</w:t>
      </w:r>
      <w:r>
        <w:rPr>
          <w:rFonts w:ascii="宋体" w:hAnsi="宋体" w:cs="宋体"/>
          <w:color w:val="auto"/>
          <w:sz w:val="28"/>
          <w:szCs w:val="28"/>
          <w:highlight w:val="none"/>
        </w:rPr>
        <w:t>1</w:t>
      </w:r>
      <w:r>
        <w:rPr>
          <w:rFonts w:hint="eastAsia" w:ascii="宋体" w:hAnsi="宋体" w:cs="宋体"/>
          <w:color w:val="auto"/>
          <w:sz w:val="28"/>
          <w:szCs w:val="28"/>
          <w:highlight w:val="none"/>
        </w:rPr>
        <w:t>月</w:t>
      </w:r>
      <w:r>
        <w:rPr>
          <w:rFonts w:ascii="宋体" w:hAnsi="宋体" w:cs="宋体"/>
          <w:color w:val="auto"/>
          <w:sz w:val="28"/>
          <w:szCs w:val="28"/>
          <w:highlight w:val="none"/>
        </w:rPr>
        <w:t>16</w:t>
      </w:r>
      <w:r>
        <w:rPr>
          <w:rFonts w:hint="eastAsia" w:ascii="宋体" w:hAnsi="宋体" w:cs="宋体"/>
          <w:color w:val="auto"/>
          <w:sz w:val="28"/>
          <w:szCs w:val="28"/>
          <w:highlight w:val="none"/>
        </w:rPr>
        <w:t>日</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冬季平均气温：</w:t>
      </w:r>
      <w:r>
        <w:rPr>
          <w:rFonts w:ascii="宋体" w:hAnsi="宋体" w:cs="宋体"/>
          <w:color w:val="auto"/>
          <w:sz w:val="28"/>
          <w:szCs w:val="28"/>
          <w:highlight w:val="none"/>
        </w:rPr>
        <w:t>3.8</w:t>
      </w:r>
      <w:r>
        <w:rPr>
          <w:rFonts w:hint="eastAsia" w:ascii="宋体" w:hAnsi="宋体" w:cs="宋体"/>
          <w:color w:val="auto"/>
          <w:sz w:val="28"/>
          <w:szCs w:val="28"/>
          <w:highlight w:val="none"/>
        </w:rPr>
        <w:t>℃</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夏季平均气温：</w:t>
      </w:r>
      <w:r>
        <w:rPr>
          <w:rFonts w:ascii="宋体" w:hAnsi="宋体" w:cs="宋体"/>
          <w:color w:val="auto"/>
          <w:sz w:val="28"/>
          <w:szCs w:val="28"/>
          <w:highlight w:val="none"/>
        </w:rPr>
        <w:t>26.5</w:t>
      </w:r>
      <w:r>
        <w:rPr>
          <w:rFonts w:hint="eastAsia" w:ascii="宋体" w:hAnsi="宋体" w:cs="宋体"/>
          <w:color w:val="auto"/>
          <w:sz w:val="28"/>
          <w:szCs w:val="28"/>
          <w:highlight w:val="none"/>
        </w:rPr>
        <w:t>℃</w:t>
      </w:r>
    </w:p>
    <w:p>
      <w:pPr>
        <w:pStyle w:val="41"/>
        <w:numPr>
          <w:ilvl w:val="0"/>
          <w:numId w:val="3"/>
        </w:numPr>
        <w:spacing w:line="560" w:lineRule="exact"/>
        <w:ind w:left="0" w:firstLine="31680"/>
        <w:rPr>
          <w:rFonts w:ascii="宋体" w:cs="宋体"/>
          <w:color w:val="auto"/>
          <w:sz w:val="28"/>
          <w:szCs w:val="28"/>
          <w:highlight w:val="none"/>
        </w:rPr>
      </w:pPr>
      <w:r>
        <w:rPr>
          <w:rFonts w:hint="eastAsia" w:ascii="宋体" w:hAnsi="宋体" w:cs="宋体"/>
          <w:color w:val="auto"/>
          <w:sz w:val="28"/>
          <w:szCs w:val="28"/>
          <w:highlight w:val="none"/>
        </w:rPr>
        <w:t>湿度：</w:t>
      </w:r>
    </w:p>
    <w:p>
      <w:pPr>
        <w:pStyle w:val="41"/>
        <w:spacing w:line="560" w:lineRule="exact"/>
        <w:ind w:firstLine="31680"/>
        <w:rPr>
          <w:rFonts w:ascii="宋体" w:hAnsi="宋体" w:cs="宋体"/>
          <w:color w:val="auto"/>
          <w:sz w:val="28"/>
          <w:szCs w:val="28"/>
          <w:highlight w:val="none"/>
        </w:rPr>
      </w:pPr>
      <w:r>
        <w:rPr>
          <w:rFonts w:hint="eastAsia" w:ascii="宋体" w:hAnsi="宋体" w:cs="宋体"/>
          <w:color w:val="auto"/>
          <w:sz w:val="28"/>
          <w:szCs w:val="28"/>
          <w:highlight w:val="none"/>
        </w:rPr>
        <w:t>历年平均相对湿度：</w:t>
      </w:r>
      <w:r>
        <w:rPr>
          <w:rFonts w:ascii="宋体" w:hAnsi="宋体" w:cs="宋体"/>
          <w:color w:val="auto"/>
          <w:sz w:val="28"/>
          <w:szCs w:val="28"/>
          <w:highlight w:val="none"/>
        </w:rPr>
        <w:t>76%</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历年最小相对湿度：</w:t>
      </w:r>
      <w:r>
        <w:rPr>
          <w:rFonts w:ascii="宋体" w:hAnsi="宋体" w:cs="宋体"/>
          <w:color w:val="auto"/>
          <w:sz w:val="28"/>
          <w:szCs w:val="28"/>
          <w:highlight w:val="none"/>
        </w:rPr>
        <w:t>0%</w:t>
      </w:r>
      <w:r>
        <w:rPr>
          <w:rFonts w:hint="eastAsia" w:ascii="宋体" w:hAnsi="宋体" w:cs="宋体"/>
          <w:color w:val="auto"/>
          <w:sz w:val="28"/>
          <w:szCs w:val="28"/>
          <w:highlight w:val="none"/>
        </w:rPr>
        <w:t>，</w:t>
      </w:r>
      <w:r>
        <w:rPr>
          <w:rFonts w:ascii="宋体" w:hAnsi="宋体" w:cs="宋体"/>
          <w:color w:val="auto"/>
          <w:sz w:val="28"/>
          <w:szCs w:val="28"/>
          <w:highlight w:val="none"/>
        </w:rPr>
        <w:t>1968</w:t>
      </w:r>
      <w:r>
        <w:rPr>
          <w:rFonts w:hint="eastAsia" w:ascii="宋体" w:hAnsi="宋体" w:cs="宋体"/>
          <w:color w:val="auto"/>
          <w:sz w:val="28"/>
          <w:szCs w:val="28"/>
          <w:highlight w:val="none"/>
        </w:rPr>
        <w:t>年</w:t>
      </w:r>
      <w:r>
        <w:rPr>
          <w:rFonts w:ascii="宋体" w:hAnsi="宋体" w:cs="宋体"/>
          <w:color w:val="auto"/>
          <w:sz w:val="28"/>
          <w:szCs w:val="28"/>
          <w:highlight w:val="none"/>
        </w:rPr>
        <w:t>1</w:t>
      </w:r>
      <w:r>
        <w:rPr>
          <w:rFonts w:hint="eastAsia" w:ascii="宋体" w:hAnsi="宋体" w:cs="宋体"/>
          <w:color w:val="auto"/>
          <w:sz w:val="28"/>
          <w:szCs w:val="28"/>
          <w:highlight w:val="none"/>
        </w:rPr>
        <w:t>月</w:t>
      </w:r>
      <w:r>
        <w:rPr>
          <w:rFonts w:ascii="宋体" w:hAnsi="宋体" w:cs="宋体"/>
          <w:color w:val="auto"/>
          <w:sz w:val="28"/>
          <w:szCs w:val="28"/>
          <w:highlight w:val="none"/>
        </w:rPr>
        <w:t>15</w:t>
      </w:r>
      <w:r>
        <w:rPr>
          <w:rFonts w:hint="eastAsia" w:ascii="宋体" w:hAnsi="宋体" w:cs="宋体"/>
          <w:color w:val="auto"/>
          <w:sz w:val="28"/>
          <w:szCs w:val="28"/>
          <w:highlight w:val="none"/>
        </w:rPr>
        <w:t>日</w:t>
      </w:r>
    </w:p>
    <w:p>
      <w:pPr>
        <w:pStyle w:val="41"/>
        <w:numPr>
          <w:ilvl w:val="0"/>
          <w:numId w:val="3"/>
        </w:numPr>
        <w:spacing w:line="560" w:lineRule="exact"/>
        <w:ind w:left="0" w:firstLine="31680"/>
        <w:rPr>
          <w:rFonts w:ascii="宋体" w:cs="宋体"/>
          <w:color w:val="auto"/>
          <w:sz w:val="28"/>
          <w:szCs w:val="28"/>
          <w:highlight w:val="none"/>
        </w:rPr>
      </w:pPr>
      <w:r>
        <w:rPr>
          <w:rFonts w:hint="eastAsia" w:ascii="宋体" w:hAnsi="宋体" w:cs="宋体"/>
          <w:color w:val="auto"/>
          <w:sz w:val="28"/>
          <w:szCs w:val="28"/>
          <w:highlight w:val="none"/>
        </w:rPr>
        <w:t>风向：</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常年主导风向为东风和</w:t>
      </w:r>
      <w:r>
        <w:rPr>
          <w:rFonts w:ascii="宋体" w:hAnsi="宋体" w:cs="宋体"/>
          <w:color w:val="auto"/>
          <w:sz w:val="28"/>
          <w:szCs w:val="28"/>
          <w:highlight w:val="none"/>
        </w:rPr>
        <w:t>ENE</w:t>
      </w:r>
      <w:r>
        <w:rPr>
          <w:rFonts w:hint="eastAsia" w:ascii="宋体" w:hAnsi="宋体" w:cs="宋体"/>
          <w:color w:val="auto"/>
          <w:sz w:val="28"/>
          <w:szCs w:val="28"/>
          <w:highlight w:val="none"/>
        </w:rPr>
        <w:t>（东北偏东），其次为</w:t>
      </w:r>
      <w:r>
        <w:rPr>
          <w:rFonts w:ascii="宋体" w:hAnsi="宋体" w:cs="宋体"/>
          <w:color w:val="auto"/>
          <w:sz w:val="28"/>
          <w:szCs w:val="28"/>
          <w:highlight w:val="none"/>
        </w:rPr>
        <w:t>ESE</w:t>
      </w:r>
      <w:r>
        <w:rPr>
          <w:rFonts w:hint="eastAsia" w:ascii="宋体" w:hAnsi="宋体" w:cs="宋体"/>
          <w:color w:val="auto"/>
          <w:sz w:val="28"/>
          <w:szCs w:val="28"/>
          <w:highlight w:val="none"/>
        </w:rPr>
        <w:t>（东南偏东）。</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夏季主导风向：</w:t>
      </w:r>
      <w:r>
        <w:rPr>
          <w:rFonts w:ascii="宋体" w:hAnsi="宋体" w:cs="宋体"/>
          <w:color w:val="auto"/>
          <w:sz w:val="28"/>
          <w:szCs w:val="28"/>
          <w:highlight w:val="none"/>
        </w:rPr>
        <w:t>ESE</w:t>
      </w:r>
      <w:r>
        <w:rPr>
          <w:rFonts w:hint="eastAsia" w:ascii="宋体" w:hAnsi="宋体" w:cs="宋体"/>
          <w:color w:val="auto"/>
          <w:sz w:val="28"/>
          <w:szCs w:val="28"/>
          <w:highlight w:val="none"/>
        </w:rPr>
        <w:t>（东南偏东）</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冬季主导风向：静风和</w:t>
      </w:r>
      <w:r>
        <w:rPr>
          <w:rFonts w:ascii="宋体" w:hAnsi="宋体" w:cs="宋体"/>
          <w:color w:val="auto"/>
          <w:sz w:val="28"/>
          <w:szCs w:val="28"/>
          <w:highlight w:val="none"/>
        </w:rPr>
        <w:t>ENE</w:t>
      </w:r>
      <w:r>
        <w:rPr>
          <w:rFonts w:hint="eastAsia" w:ascii="宋体" w:hAnsi="宋体" w:cs="宋体"/>
          <w:color w:val="auto"/>
          <w:sz w:val="28"/>
          <w:szCs w:val="28"/>
          <w:highlight w:val="none"/>
        </w:rPr>
        <w:t>（东北偏东）</w:t>
      </w:r>
    </w:p>
    <w:p>
      <w:pPr>
        <w:pStyle w:val="41"/>
        <w:spacing w:line="560" w:lineRule="exact"/>
        <w:ind w:firstLine="31680"/>
        <w:rPr>
          <w:rFonts w:ascii="宋体" w:hAnsi="宋体" w:cs="宋体"/>
          <w:color w:val="auto"/>
          <w:sz w:val="28"/>
          <w:szCs w:val="28"/>
          <w:highlight w:val="none"/>
        </w:rPr>
      </w:pPr>
      <w:r>
        <w:rPr>
          <w:rFonts w:hint="eastAsia" w:ascii="宋体" w:hAnsi="宋体" w:cs="宋体"/>
          <w:color w:val="auto"/>
          <w:sz w:val="28"/>
          <w:szCs w:val="28"/>
          <w:highlight w:val="none"/>
        </w:rPr>
        <w:t>历年平均风速：</w:t>
      </w:r>
      <w:r>
        <w:rPr>
          <w:rFonts w:ascii="宋体" w:hAnsi="宋体" w:cs="宋体"/>
          <w:color w:val="auto"/>
          <w:sz w:val="28"/>
          <w:szCs w:val="28"/>
          <w:highlight w:val="none"/>
        </w:rPr>
        <w:t>3.1m/s</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历年最大风速：</w:t>
      </w:r>
      <w:r>
        <w:rPr>
          <w:rFonts w:ascii="宋体" w:hAnsi="宋体" w:cs="宋体"/>
          <w:color w:val="auto"/>
          <w:sz w:val="28"/>
          <w:szCs w:val="28"/>
          <w:highlight w:val="none"/>
        </w:rPr>
        <w:t>23.0m/s</w:t>
      </w:r>
      <w:r>
        <w:rPr>
          <w:rFonts w:hint="eastAsia" w:ascii="宋体" w:hAnsi="宋体" w:cs="宋体"/>
          <w:color w:val="auto"/>
          <w:sz w:val="28"/>
          <w:szCs w:val="28"/>
          <w:highlight w:val="none"/>
        </w:rPr>
        <w:t>，</w:t>
      </w:r>
      <w:r>
        <w:rPr>
          <w:rFonts w:ascii="宋体" w:hAnsi="宋体" w:cs="宋体"/>
          <w:color w:val="auto"/>
          <w:sz w:val="28"/>
          <w:szCs w:val="28"/>
          <w:highlight w:val="none"/>
        </w:rPr>
        <w:t>1959</w:t>
      </w:r>
      <w:r>
        <w:rPr>
          <w:rFonts w:hint="eastAsia" w:ascii="宋体" w:hAnsi="宋体" w:cs="宋体"/>
          <w:color w:val="auto"/>
          <w:sz w:val="28"/>
          <w:szCs w:val="28"/>
          <w:highlight w:val="none"/>
        </w:rPr>
        <w:t>年</w:t>
      </w:r>
      <w:r>
        <w:rPr>
          <w:rFonts w:ascii="宋体" w:hAnsi="宋体" w:cs="宋体"/>
          <w:color w:val="auto"/>
          <w:sz w:val="28"/>
          <w:szCs w:val="28"/>
          <w:highlight w:val="none"/>
        </w:rPr>
        <w:t>8</w:t>
      </w:r>
      <w:r>
        <w:rPr>
          <w:rFonts w:hint="eastAsia" w:ascii="宋体" w:hAnsi="宋体" w:cs="宋体"/>
          <w:color w:val="auto"/>
          <w:sz w:val="28"/>
          <w:szCs w:val="28"/>
          <w:highlight w:val="none"/>
        </w:rPr>
        <w:t>月</w:t>
      </w:r>
      <w:r>
        <w:rPr>
          <w:rFonts w:ascii="宋体" w:hAnsi="宋体" w:cs="宋体"/>
          <w:color w:val="auto"/>
          <w:sz w:val="28"/>
          <w:szCs w:val="28"/>
          <w:highlight w:val="none"/>
        </w:rPr>
        <w:t>31</w:t>
      </w:r>
      <w:r>
        <w:rPr>
          <w:rFonts w:hint="eastAsia" w:ascii="宋体" w:hAnsi="宋体" w:cs="宋体"/>
          <w:color w:val="auto"/>
          <w:sz w:val="28"/>
          <w:szCs w:val="28"/>
          <w:highlight w:val="none"/>
        </w:rPr>
        <w:t>日</w:t>
      </w:r>
      <w:r>
        <w:rPr>
          <w:rFonts w:ascii="宋体" w:hAnsi="宋体" w:cs="宋体"/>
          <w:color w:val="auto"/>
          <w:sz w:val="28"/>
          <w:szCs w:val="28"/>
          <w:highlight w:val="none"/>
        </w:rPr>
        <w:t>NE</w:t>
      </w:r>
      <w:r>
        <w:rPr>
          <w:rFonts w:hint="eastAsia" w:ascii="宋体" w:hAnsi="宋体" w:cs="宋体"/>
          <w:color w:val="auto"/>
          <w:sz w:val="28"/>
          <w:szCs w:val="28"/>
          <w:highlight w:val="none"/>
        </w:rPr>
        <w:t>（东北）风</w:t>
      </w:r>
    </w:p>
    <w:p>
      <w:pPr>
        <w:pStyle w:val="41"/>
        <w:numPr>
          <w:ilvl w:val="0"/>
          <w:numId w:val="3"/>
        </w:numPr>
        <w:spacing w:line="560" w:lineRule="exact"/>
        <w:ind w:left="0" w:firstLine="31680"/>
        <w:rPr>
          <w:rFonts w:ascii="宋体" w:cs="宋体"/>
          <w:color w:val="auto"/>
          <w:sz w:val="28"/>
          <w:szCs w:val="28"/>
          <w:highlight w:val="none"/>
        </w:rPr>
      </w:pPr>
      <w:r>
        <w:rPr>
          <w:rFonts w:hint="eastAsia" w:ascii="宋体" w:hAnsi="宋体" w:cs="宋体"/>
          <w:color w:val="auto"/>
          <w:sz w:val="28"/>
          <w:szCs w:val="28"/>
          <w:highlight w:val="none"/>
        </w:rPr>
        <w:t>气压：</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历年平均气压：</w:t>
      </w:r>
      <w:r>
        <w:rPr>
          <w:rFonts w:ascii="宋体" w:hAnsi="宋体" w:cs="宋体"/>
          <w:color w:val="auto"/>
          <w:sz w:val="28"/>
          <w:szCs w:val="28"/>
          <w:highlight w:val="none"/>
        </w:rPr>
        <w:t>1014.0</w:t>
      </w:r>
      <w:r>
        <w:rPr>
          <w:rFonts w:hint="eastAsia" w:ascii="宋体" w:hAnsi="宋体" w:cs="宋体"/>
          <w:color w:val="auto"/>
          <w:sz w:val="28"/>
          <w:szCs w:val="28"/>
          <w:highlight w:val="none"/>
        </w:rPr>
        <w:t>百帕</w:t>
      </w:r>
    </w:p>
    <w:p>
      <w:pPr>
        <w:pStyle w:val="41"/>
        <w:numPr>
          <w:ilvl w:val="0"/>
          <w:numId w:val="3"/>
        </w:numPr>
        <w:spacing w:line="560" w:lineRule="exact"/>
        <w:ind w:left="0" w:firstLine="31680"/>
        <w:rPr>
          <w:rFonts w:ascii="宋体" w:cs="宋体"/>
          <w:color w:val="auto"/>
          <w:sz w:val="28"/>
          <w:szCs w:val="28"/>
          <w:highlight w:val="none"/>
        </w:rPr>
      </w:pPr>
      <w:r>
        <w:rPr>
          <w:rFonts w:hint="eastAsia" w:ascii="宋体" w:hAnsi="宋体" w:cs="宋体"/>
          <w:color w:val="auto"/>
          <w:sz w:val="28"/>
          <w:szCs w:val="28"/>
          <w:highlight w:val="none"/>
        </w:rPr>
        <w:t>降雨：</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历年平均降水量：</w:t>
      </w:r>
      <w:r>
        <w:rPr>
          <w:rFonts w:ascii="宋体" w:hAnsi="宋体" w:cs="宋体"/>
          <w:color w:val="auto"/>
          <w:sz w:val="28"/>
          <w:szCs w:val="28"/>
          <w:highlight w:val="none"/>
        </w:rPr>
        <w:t>1070.1</w:t>
      </w:r>
      <w:r>
        <w:rPr>
          <w:rFonts w:hint="eastAsia" w:ascii="宋体" w:hAnsi="宋体" w:cs="宋体"/>
          <w:color w:val="auto"/>
          <w:sz w:val="28"/>
          <w:szCs w:val="28"/>
          <w:highlight w:val="none"/>
        </w:rPr>
        <w:t>毫米</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历年一日最大降水量：</w:t>
      </w:r>
      <w:r>
        <w:rPr>
          <w:rFonts w:ascii="宋体" w:hAnsi="宋体" w:cs="宋体"/>
          <w:color w:val="auto"/>
          <w:sz w:val="28"/>
          <w:szCs w:val="28"/>
          <w:highlight w:val="none"/>
        </w:rPr>
        <w:t>262.5</w:t>
      </w:r>
      <w:r>
        <w:rPr>
          <w:rFonts w:hint="eastAsia" w:ascii="宋体" w:hAnsi="宋体" w:cs="宋体"/>
          <w:color w:val="auto"/>
          <w:sz w:val="28"/>
          <w:szCs w:val="28"/>
          <w:highlight w:val="none"/>
        </w:rPr>
        <w:t>毫米，</w:t>
      </w:r>
      <w:r>
        <w:rPr>
          <w:rFonts w:ascii="宋体" w:hAnsi="宋体" w:cs="宋体"/>
          <w:color w:val="auto"/>
          <w:sz w:val="28"/>
          <w:szCs w:val="28"/>
          <w:highlight w:val="none"/>
        </w:rPr>
        <w:t>1972</w:t>
      </w:r>
      <w:r>
        <w:rPr>
          <w:rFonts w:hint="eastAsia" w:ascii="宋体" w:hAnsi="宋体" w:cs="宋体"/>
          <w:color w:val="auto"/>
          <w:sz w:val="28"/>
          <w:szCs w:val="28"/>
          <w:highlight w:val="none"/>
        </w:rPr>
        <w:t>年</w:t>
      </w:r>
      <w:r>
        <w:rPr>
          <w:rFonts w:ascii="宋体" w:hAnsi="宋体" w:cs="宋体"/>
          <w:color w:val="auto"/>
          <w:sz w:val="28"/>
          <w:szCs w:val="28"/>
          <w:highlight w:val="none"/>
        </w:rPr>
        <w:t>7</w:t>
      </w:r>
      <w:r>
        <w:rPr>
          <w:rFonts w:hint="eastAsia" w:ascii="宋体" w:hAnsi="宋体" w:cs="宋体"/>
          <w:color w:val="auto"/>
          <w:sz w:val="28"/>
          <w:szCs w:val="28"/>
          <w:highlight w:val="none"/>
        </w:rPr>
        <w:t>月</w:t>
      </w:r>
      <w:r>
        <w:rPr>
          <w:rFonts w:ascii="宋体" w:hAnsi="宋体" w:cs="宋体"/>
          <w:color w:val="auto"/>
          <w:sz w:val="28"/>
          <w:szCs w:val="28"/>
          <w:highlight w:val="none"/>
        </w:rPr>
        <w:t>3</w:t>
      </w:r>
      <w:r>
        <w:rPr>
          <w:rFonts w:hint="eastAsia" w:ascii="宋体" w:hAnsi="宋体" w:cs="宋体"/>
          <w:color w:val="auto"/>
          <w:sz w:val="28"/>
          <w:szCs w:val="28"/>
          <w:highlight w:val="none"/>
        </w:rPr>
        <w:t>日</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日降水量大于</w:t>
      </w:r>
      <w:r>
        <w:rPr>
          <w:rFonts w:ascii="宋体" w:hAnsi="宋体" w:cs="宋体"/>
          <w:color w:val="auto"/>
          <w:sz w:val="28"/>
          <w:szCs w:val="28"/>
          <w:highlight w:val="none"/>
        </w:rPr>
        <w:t>10</w:t>
      </w:r>
      <w:r>
        <w:rPr>
          <w:rFonts w:hint="eastAsia" w:ascii="宋体" w:hAnsi="宋体" w:cs="宋体"/>
          <w:color w:val="auto"/>
          <w:sz w:val="28"/>
          <w:szCs w:val="28"/>
          <w:highlight w:val="none"/>
        </w:rPr>
        <w:t>毫米的天数：</w:t>
      </w:r>
      <w:r>
        <w:rPr>
          <w:rFonts w:ascii="宋体" w:hAnsi="宋体" w:cs="宋体"/>
          <w:color w:val="auto"/>
          <w:sz w:val="28"/>
          <w:szCs w:val="28"/>
          <w:highlight w:val="none"/>
        </w:rPr>
        <w:t>32.4</w:t>
      </w:r>
      <w:r>
        <w:rPr>
          <w:rFonts w:hint="eastAsia" w:ascii="宋体" w:hAnsi="宋体" w:cs="宋体"/>
          <w:color w:val="auto"/>
          <w:sz w:val="28"/>
          <w:szCs w:val="28"/>
          <w:highlight w:val="none"/>
        </w:rPr>
        <w:t>天</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雨季：镇江新区无明显雨季</w:t>
      </w:r>
    </w:p>
    <w:p>
      <w:pPr>
        <w:pStyle w:val="41"/>
        <w:numPr>
          <w:ilvl w:val="0"/>
          <w:numId w:val="3"/>
        </w:numPr>
        <w:spacing w:line="560" w:lineRule="exact"/>
        <w:ind w:left="0" w:firstLine="31680"/>
        <w:rPr>
          <w:rFonts w:ascii="宋体" w:cs="宋体"/>
          <w:color w:val="auto"/>
          <w:sz w:val="28"/>
          <w:szCs w:val="28"/>
          <w:highlight w:val="none"/>
        </w:rPr>
      </w:pPr>
      <w:r>
        <w:rPr>
          <w:rFonts w:hint="eastAsia" w:ascii="宋体" w:hAnsi="宋体" w:cs="宋体"/>
          <w:color w:val="auto"/>
          <w:sz w:val="28"/>
          <w:szCs w:val="28"/>
          <w:highlight w:val="none"/>
        </w:rPr>
        <w:t>雷暴：</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年雷暴日数：</w:t>
      </w:r>
      <w:r>
        <w:rPr>
          <w:rFonts w:ascii="宋体" w:hAnsi="宋体" w:cs="宋体"/>
          <w:color w:val="auto"/>
          <w:sz w:val="28"/>
          <w:szCs w:val="28"/>
          <w:highlight w:val="none"/>
        </w:rPr>
        <w:t>28.2</w:t>
      </w:r>
      <w:r>
        <w:rPr>
          <w:rFonts w:hint="eastAsia" w:ascii="宋体" w:hAnsi="宋体" w:cs="宋体"/>
          <w:color w:val="auto"/>
          <w:sz w:val="28"/>
          <w:szCs w:val="28"/>
          <w:highlight w:val="none"/>
        </w:rPr>
        <w:t>天</w:t>
      </w:r>
    </w:p>
    <w:p>
      <w:pPr>
        <w:pStyle w:val="41"/>
        <w:numPr>
          <w:ilvl w:val="0"/>
          <w:numId w:val="3"/>
        </w:numPr>
        <w:spacing w:line="560" w:lineRule="exact"/>
        <w:ind w:left="0" w:firstLine="31680"/>
        <w:rPr>
          <w:rFonts w:ascii="宋体" w:cs="宋体"/>
          <w:color w:val="auto"/>
          <w:sz w:val="28"/>
          <w:szCs w:val="28"/>
          <w:highlight w:val="none"/>
        </w:rPr>
      </w:pPr>
      <w:r>
        <w:rPr>
          <w:rFonts w:hint="eastAsia" w:ascii="宋体" w:hAnsi="宋体" w:cs="宋体"/>
          <w:color w:val="auto"/>
          <w:sz w:val="28"/>
          <w:szCs w:val="28"/>
          <w:highlight w:val="none"/>
        </w:rPr>
        <w:t>雾：</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年平均降雾日：</w:t>
      </w:r>
      <w:r>
        <w:rPr>
          <w:rFonts w:ascii="宋体" w:hAnsi="宋体" w:cs="宋体"/>
          <w:color w:val="auto"/>
          <w:sz w:val="28"/>
          <w:szCs w:val="28"/>
          <w:highlight w:val="none"/>
        </w:rPr>
        <w:t>26.1</w:t>
      </w:r>
      <w:r>
        <w:rPr>
          <w:rFonts w:hint="eastAsia" w:ascii="宋体" w:hAnsi="宋体" w:cs="宋体"/>
          <w:color w:val="auto"/>
          <w:sz w:val="28"/>
          <w:szCs w:val="28"/>
          <w:highlight w:val="none"/>
        </w:rPr>
        <w:t>天</w:t>
      </w:r>
    </w:p>
    <w:p>
      <w:pPr>
        <w:pStyle w:val="41"/>
        <w:numPr>
          <w:ilvl w:val="0"/>
          <w:numId w:val="3"/>
        </w:numPr>
        <w:spacing w:line="560" w:lineRule="exact"/>
        <w:ind w:left="0" w:firstLine="31680"/>
        <w:rPr>
          <w:rFonts w:ascii="宋体" w:cs="宋体"/>
          <w:color w:val="auto"/>
          <w:sz w:val="28"/>
          <w:szCs w:val="28"/>
          <w:highlight w:val="none"/>
        </w:rPr>
      </w:pPr>
      <w:r>
        <w:rPr>
          <w:rFonts w:hint="eastAsia" w:ascii="宋体" w:hAnsi="宋体" w:cs="宋体"/>
          <w:color w:val="auto"/>
          <w:sz w:val="28"/>
          <w:szCs w:val="28"/>
          <w:highlight w:val="none"/>
        </w:rPr>
        <w:t>冰冻：</w:t>
      </w:r>
    </w:p>
    <w:p>
      <w:pPr>
        <w:pStyle w:val="41"/>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1951</w:t>
      </w:r>
      <w:r>
        <w:rPr>
          <w:rFonts w:hint="eastAsia" w:ascii="宋体" w:hAnsi="宋体" w:cs="宋体"/>
          <w:color w:val="auto"/>
          <w:sz w:val="28"/>
          <w:szCs w:val="28"/>
          <w:highlight w:val="none"/>
        </w:rPr>
        <w:t>年至</w:t>
      </w:r>
      <w:r>
        <w:rPr>
          <w:rFonts w:ascii="宋体" w:hAnsi="宋体" w:cs="宋体"/>
          <w:color w:val="auto"/>
          <w:sz w:val="28"/>
          <w:szCs w:val="28"/>
          <w:highlight w:val="none"/>
        </w:rPr>
        <w:t>2000</w:t>
      </w:r>
      <w:r>
        <w:rPr>
          <w:rFonts w:hint="eastAsia" w:ascii="宋体" w:hAnsi="宋体" w:cs="宋体"/>
          <w:color w:val="auto"/>
          <w:sz w:val="28"/>
          <w:szCs w:val="28"/>
          <w:highlight w:val="none"/>
        </w:rPr>
        <w:t>年最低气温不高于</w:t>
      </w:r>
      <w:r>
        <w:rPr>
          <w:rFonts w:ascii="宋体" w:hAnsi="宋体" w:cs="宋体"/>
          <w:color w:val="auto"/>
          <w:sz w:val="28"/>
          <w:szCs w:val="28"/>
          <w:highlight w:val="none"/>
        </w:rPr>
        <w:t>0</w:t>
      </w:r>
      <w:r>
        <w:rPr>
          <w:rFonts w:hint="eastAsia" w:ascii="宋体" w:hAnsi="宋体" w:cs="宋体"/>
          <w:color w:val="auto"/>
          <w:sz w:val="28"/>
          <w:szCs w:val="28"/>
          <w:highlight w:val="none"/>
        </w:rPr>
        <w:t>℃日数：</w:t>
      </w:r>
      <w:r>
        <w:rPr>
          <w:rFonts w:ascii="宋体" w:hAnsi="宋体" w:cs="宋体"/>
          <w:color w:val="auto"/>
          <w:sz w:val="28"/>
          <w:szCs w:val="28"/>
          <w:highlight w:val="none"/>
        </w:rPr>
        <w:t>43.4</w:t>
      </w:r>
      <w:r>
        <w:rPr>
          <w:rFonts w:hint="eastAsia" w:ascii="宋体" w:hAnsi="宋体" w:cs="宋体"/>
          <w:color w:val="auto"/>
          <w:sz w:val="28"/>
          <w:szCs w:val="28"/>
          <w:highlight w:val="none"/>
        </w:rPr>
        <w:t>天</w:t>
      </w:r>
    </w:p>
    <w:p>
      <w:pPr>
        <w:pStyle w:val="41"/>
        <w:numPr>
          <w:ilvl w:val="0"/>
          <w:numId w:val="3"/>
        </w:numPr>
        <w:spacing w:line="560" w:lineRule="exact"/>
        <w:ind w:left="0" w:firstLine="31680"/>
        <w:rPr>
          <w:rFonts w:ascii="宋体" w:cs="宋体"/>
          <w:color w:val="auto"/>
          <w:sz w:val="28"/>
          <w:szCs w:val="28"/>
          <w:highlight w:val="none"/>
        </w:rPr>
      </w:pPr>
      <w:r>
        <w:rPr>
          <w:rFonts w:hint="eastAsia" w:ascii="宋体" w:hAnsi="宋体" w:cs="宋体"/>
          <w:color w:val="auto"/>
          <w:sz w:val="28"/>
          <w:szCs w:val="28"/>
          <w:highlight w:val="none"/>
        </w:rPr>
        <w:t>积雪：</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年最大积雪厚度：</w:t>
      </w:r>
      <w:r>
        <w:rPr>
          <w:rFonts w:ascii="宋体" w:hAnsi="宋体" w:cs="宋体"/>
          <w:color w:val="auto"/>
          <w:sz w:val="28"/>
          <w:szCs w:val="28"/>
          <w:highlight w:val="none"/>
        </w:rPr>
        <w:t>34</w:t>
      </w:r>
      <w:r>
        <w:rPr>
          <w:rFonts w:hint="eastAsia" w:ascii="宋体" w:hAnsi="宋体" w:cs="宋体"/>
          <w:color w:val="auto"/>
          <w:sz w:val="28"/>
          <w:szCs w:val="28"/>
          <w:highlight w:val="none"/>
        </w:rPr>
        <w:t>厘米，</w:t>
      </w:r>
      <w:r>
        <w:rPr>
          <w:rFonts w:ascii="宋体" w:hAnsi="宋体" w:cs="宋体"/>
          <w:color w:val="auto"/>
          <w:sz w:val="28"/>
          <w:szCs w:val="28"/>
          <w:highlight w:val="none"/>
        </w:rPr>
        <w:t>1984</w:t>
      </w:r>
      <w:r>
        <w:rPr>
          <w:rFonts w:hint="eastAsia" w:ascii="宋体" w:hAnsi="宋体" w:cs="宋体"/>
          <w:color w:val="auto"/>
          <w:sz w:val="28"/>
          <w:szCs w:val="28"/>
          <w:highlight w:val="none"/>
        </w:rPr>
        <w:t>年</w:t>
      </w:r>
      <w:r>
        <w:rPr>
          <w:rFonts w:ascii="宋体" w:hAnsi="宋体" w:cs="宋体"/>
          <w:color w:val="auto"/>
          <w:sz w:val="28"/>
          <w:szCs w:val="28"/>
          <w:highlight w:val="none"/>
        </w:rPr>
        <w:t>1</w:t>
      </w:r>
      <w:r>
        <w:rPr>
          <w:rFonts w:hint="eastAsia" w:ascii="宋体" w:hAnsi="宋体" w:cs="宋体"/>
          <w:color w:val="auto"/>
          <w:sz w:val="28"/>
          <w:szCs w:val="28"/>
          <w:highlight w:val="none"/>
        </w:rPr>
        <w:t>月</w:t>
      </w:r>
      <w:r>
        <w:rPr>
          <w:rFonts w:ascii="宋体" w:hAnsi="宋体" w:cs="宋体"/>
          <w:color w:val="auto"/>
          <w:sz w:val="28"/>
          <w:szCs w:val="28"/>
          <w:highlight w:val="none"/>
        </w:rPr>
        <w:t>19</w:t>
      </w:r>
      <w:r>
        <w:rPr>
          <w:rFonts w:hint="eastAsia" w:ascii="宋体" w:hAnsi="宋体" w:cs="宋体"/>
          <w:color w:val="auto"/>
          <w:sz w:val="28"/>
          <w:szCs w:val="28"/>
          <w:highlight w:val="none"/>
        </w:rPr>
        <w:t>日</w:t>
      </w:r>
    </w:p>
    <w:p>
      <w:pPr>
        <w:pStyle w:val="41"/>
        <w:numPr>
          <w:ilvl w:val="0"/>
          <w:numId w:val="3"/>
        </w:numPr>
        <w:spacing w:line="560" w:lineRule="exact"/>
        <w:ind w:left="0" w:firstLine="31680"/>
        <w:rPr>
          <w:rFonts w:ascii="宋体" w:cs="宋体"/>
          <w:color w:val="auto"/>
          <w:sz w:val="28"/>
          <w:szCs w:val="28"/>
          <w:highlight w:val="none"/>
        </w:rPr>
      </w:pPr>
      <w:r>
        <w:rPr>
          <w:rFonts w:hint="eastAsia" w:ascii="宋体" w:hAnsi="宋体" w:cs="宋体"/>
          <w:color w:val="auto"/>
          <w:sz w:val="28"/>
          <w:szCs w:val="28"/>
          <w:highlight w:val="none"/>
        </w:rPr>
        <w:t>水文</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历年最高洪水位：</w:t>
      </w:r>
      <w:r>
        <w:rPr>
          <w:rFonts w:ascii="宋体" w:hAnsi="宋体" w:cs="宋体"/>
          <w:color w:val="auto"/>
          <w:sz w:val="28"/>
          <w:szCs w:val="28"/>
          <w:highlight w:val="none"/>
        </w:rPr>
        <w:t>6.69</w:t>
      </w:r>
      <w:r>
        <w:rPr>
          <w:rFonts w:hint="eastAsia" w:ascii="宋体" w:hAnsi="宋体" w:cs="宋体"/>
          <w:color w:val="auto"/>
          <w:sz w:val="28"/>
          <w:szCs w:val="28"/>
          <w:highlight w:val="none"/>
        </w:rPr>
        <w:t>米（黄海高程，下同）</w:t>
      </w:r>
      <w:r>
        <w:rPr>
          <w:rFonts w:ascii="宋体" w:hAnsi="宋体" w:cs="宋体"/>
          <w:color w:val="auto"/>
          <w:sz w:val="28"/>
          <w:szCs w:val="28"/>
          <w:highlight w:val="none"/>
        </w:rPr>
        <w:t>1996</w:t>
      </w:r>
      <w:r>
        <w:rPr>
          <w:rFonts w:hint="eastAsia" w:ascii="宋体" w:hAnsi="宋体" w:cs="宋体"/>
          <w:color w:val="auto"/>
          <w:sz w:val="28"/>
          <w:szCs w:val="28"/>
          <w:highlight w:val="none"/>
        </w:rPr>
        <w:t>年</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历年最低枯水位：</w:t>
      </w:r>
      <w:r>
        <w:rPr>
          <w:rFonts w:ascii="宋体" w:hAnsi="宋体" w:cs="宋体"/>
          <w:color w:val="auto"/>
          <w:sz w:val="28"/>
          <w:szCs w:val="28"/>
          <w:highlight w:val="none"/>
        </w:rPr>
        <w:t>-0.65</w:t>
      </w:r>
      <w:r>
        <w:rPr>
          <w:rFonts w:hint="eastAsia" w:ascii="宋体" w:hAnsi="宋体" w:cs="宋体"/>
          <w:color w:val="auto"/>
          <w:sz w:val="28"/>
          <w:szCs w:val="28"/>
          <w:highlight w:val="none"/>
        </w:rPr>
        <w:t>米</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平均洪水位：</w:t>
      </w:r>
      <w:r>
        <w:rPr>
          <w:rFonts w:ascii="宋体" w:hAnsi="宋体" w:cs="宋体"/>
          <w:color w:val="auto"/>
          <w:sz w:val="28"/>
          <w:szCs w:val="28"/>
          <w:highlight w:val="none"/>
        </w:rPr>
        <w:t>5.20</w:t>
      </w:r>
      <w:r>
        <w:rPr>
          <w:rFonts w:hint="eastAsia" w:ascii="宋体" w:hAnsi="宋体" w:cs="宋体"/>
          <w:color w:val="auto"/>
          <w:sz w:val="28"/>
          <w:szCs w:val="28"/>
          <w:highlight w:val="none"/>
        </w:rPr>
        <w:t>米</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平均枯水位：</w:t>
      </w:r>
      <w:r>
        <w:rPr>
          <w:rFonts w:ascii="宋体" w:hAnsi="宋体" w:cs="宋体"/>
          <w:color w:val="auto"/>
          <w:sz w:val="28"/>
          <w:szCs w:val="28"/>
          <w:highlight w:val="none"/>
        </w:rPr>
        <w:t>0.06</w:t>
      </w:r>
      <w:r>
        <w:rPr>
          <w:rFonts w:hint="eastAsia" w:ascii="宋体" w:hAnsi="宋体" w:cs="宋体"/>
          <w:color w:val="auto"/>
          <w:sz w:val="28"/>
          <w:szCs w:val="28"/>
          <w:highlight w:val="none"/>
        </w:rPr>
        <w:t>米</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历年最大潮差：</w:t>
      </w:r>
      <w:r>
        <w:rPr>
          <w:rFonts w:ascii="宋体" w:hAnsi="宋体" w:cs="宋体"/>
          <w:color w:val="auto"/>
          <w:sz w:val="28"/>
          <w:szCs w:val="28"/>
          <w:highlight w:val="none"/>
        </w:rPr>
        <w:t>2.10</w:t>
      </w:r>
      <w:r>
        <w:rPr>
          <w:rFonts w:hint="eastAsia" w:ascii="宋体" w:hAnsi="宋体" w:cs="宋体"/>
          <w:color w:val="auto"/>
          <w:sz w:val="28"/>
          <w:szCs w:val="28"/>
          <w:highlight w:val="none"/>
        </w:rPr>
        <w:t>米</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历年最低潮差：</w:t>
      </w:r>
      <w:r>
        <w:rPr>
          <w:rFonts w:ascii="宋体" w:hAnsi="宋体" w:cs="宋体"/>
          <w:color w:val="auto"/>
          <w:sz w:val="28"/>
          <w:szCs w:val="28"/>
          <w:highlight w:val="none"/>
        </w:rPr>
        <w:t>0.01</w:t>
      </w:r>
      <w:r>
        <w:rPr>
          <w:rFonts w:hint="eastAsia" w:ascii="宋体" w:hAnsi="宋体" w:cs="宋体"/>
          <w:color w:val="auto"/>
          <w:sz w:val="28"/>
          <w:szCs w:val="28"/>
          <w:highlight w:val="none"/>
        </w:rPr>
        <w:t>米</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历年平均潮位：</w:t>
      </w:r>
      <w:r>
        <w:rPr>
          <w:rFonts w:ascii="宋体" w:hAnsi="宋体" w:cs="宋体"/>
          <w:color w:val="auto"/>
          <w:sz w:val="28"/>
          <w:szCs w:val="28"/>
          <w:highlight w:val="none"/>
        </w:rPr>
        <w:t>0.96</w:t>
      </w:r>
      <w:r>
        <w:rPr>
          <w:rFonts w:hint="eastAsia" w:ascii="宋体" w:hAnsi="宋体" w:cs="宋体"/>
          <w:color w:val="auto"/>
          <w:sz w:val="28"/>
          <w:szCs w:val="28"/>
          <w:highlight w:val="none"/>
        </w:rPr>
        <w:t>米</w:t>
      </w:r>
    </w:p>
    <w:p>
      <w:pPr>
        <w:pStyle w:val="42"/>
        <w:spacing w:before="0" w:after="0" w:line="560" w:lineRule="exact"/>
        <w:ind w:firstLine="560" w:firstLineChars="200"/>
        <w:rPr>
          <w:rFonts w:ascii="宋体" w:cs="宋体"/>
          <w:color w:val="auto"/>
          <w:sz w:val="28"/>
          <w:szCs w:val="28"/>
          <w:highlight w:val="none"/>
        </w:rPr>
      </w:pPr>
      <w:bookmarkStart w:id="359" w:name="_Toc22576"/>
      <w:r>
        <w:rPr>
          <w:rFonts w:ascii="宋体" w:hAnsi="宋体" w:cs="宋体"/>
          <w:color w:val="auto"/>
          <w:sz w:val="28"/>
          <w:szCs w:val="28"/>
          <w:highlight w:val="none"/>
        </w:rPr>
        <w:t xml:space="preserve">6.1.2  </w:t>
      </w:r>
      <w:r>
        <w:rPr>
          <w:rFonts w:hint="eastAsia" w:ascii="宋体" w:hAnsi="宋体" w:cs="宋体"/>
          <w:color w:val="auto"/>
          <w:sz w:val="28"/>
          <w:szCs w:val="28"/>
          <w:highlight w:val="none"/>
        </w:rPr>
        <w:t>社会经济条件</w:t>
      </w:r>
      <w:bookmarkEnd w:id="359"/>
    </w:p>
    <w:p>
      <w:pPr>
        <w:pStyle w:val="41"/>
        <w:spacing w:line="560" w:lineRule="exact"/>
        <w:ind w:firstLine="31680"/>
        <w:rPr>
          <w:rFonts w:ascii="宋体" w:cs="宋体"/>
          <w:color w:val="auto"/>
          <w:sz w:val="28"/>
          <w:szCs w:val="28"/>
          <w:highlight w:val="none"/>
        </w:rPr>
      </w:pPr>
      <w:bookmarkStart w:id="360" w:name="_Toc27126"/>
      <w:r>
        <w:rPr>
          <w:rFonts w:hint="eastAsia" w:ascii="宋体" w:hAnsi="宋体" w:cs="宋体"/>
          <w:color w:val="auto"/>
          <w:sz w:val="28"/>
          <w:szCs w:val="28"/>
          <w:highlight w:val="none"/>
        </w:rPr>
        <w:t>镇江新区（镇江经济技术开发区）是镇江“一体两翼”总体布局中的“东翼”，</w:t>
      </w:r>
      <w:r>
        <w:rPr>
          <w:rFonts w:ascii="宋体" w:hAnsi="宋体" w:cs="宋体"/>
          <w:color w:val="auto"/>
          <w:sz w:val="28"/>
          <w:szCs w:val="28"/>
          <w:highlight w:val="none"/>
        </w:rPr>
        <w:t>1992</w:t>
      </w:r>
      <w:r>
        <w:rPr>
          <w:rFonts w:hint="eastAsia" w:ascii="宋体" w:hAnsi="宋体" w:cs="宋体"/>
          <w:color w:val="auto"/>
          <w:sz w:val="28"/>
          <w:szCs w:val="28"/>
          <w:highlight w:val="none"/>
        </w:rPr>
        <w:t>年在改革开放浪潮滚滚中应运而生，</w:t>
      </w:r>
      <w:r>
        <w:rPr>
          <w:rFonts w:ascii="宋体" w:hAnsi="宋体" w:cs="宋体"/>
          <w:color w:val="auto"/>
          <w:sz w:val="28"/>
          <w:szCs w:val="28"/>
          <w:highlight w:val="none"/>
        </w:rPr>
        <w:t>2010</w:t>
      </w:r>
      <w:r>
        <w:rPr>
          <w:rFonts w:hint="eastAsia" w:ascii="宋体" w:hAnsi="宋体" w:cs="宋体"/>
          <w:color w:val="auto"/>
          <w:sz w:val="28"/>
          <w:szCs w:val="28"/>
          <w:highlight w:val="none"/>
        </w:rPr>
        <w:t>年</w:t>
      </w:r>
      <w:r>
        <w:rPr>
          <w:rFonts w:ascii="宋体" w:hAnsi="宋体" w:cs="宋体"/>
          <w:color w:val="auto"/>
          <w:sz w:val="28"/>
          <w:szCs w:val="28"/>
          <w:highlight w:val="none"/>
        </w:rPr>
        <w:t>4</w:t>
      </w:r>
      <w:r>
        <w:rPr>
          <w:rFonts w:hint="eastAsia" w:ascii="宋体" w:hAnsi="宋体" w:cs="宋体"/>
          <w:color w:val="auto"/>
          <w:sz w:val="28"/>
          <w:szCs w:val="28"/>
          <w:highlight w:val="none"/>
        </w:rPr>
        <w:t>月升格为国家级经济技术开发区，下辖丁卯、大港</w:t>
      </w:r>
      <w:r>
        <w:rPr>
          <w:rFonts w:ascii="宋体" w:hAnsi="宋体" w:cs="宋体"/>
          <w:color w:val="auto"/>
          <w:sz w:val="28"/>
          <w:szCs w:val="28"/>
          <w:highlight w:val="none"/>
        </w:rPr>
        <w:t>2</w:t>
      </w:r>
      <w:r>
        <w:rPr>
          <w:rFonts w:hint="eastAsia" w:ascii="宋体" w:hAnsi="宋体" w:cs="宋体"/>
          <w:color w:val="auto"/>
          <w:sz w:val="28"/>
          <w:szCs w:val="28"/>
          <w:highlight w:val="none"/>
        </w:rPr>
        <w:t>个街道和丁岗、大路、姚桥</w:t>
      </w:r>
      <w:r>
        <w:rPr>
          <w:rFonts w:ascii="宋体" w:hAnsi="宋体" w:cs="宋体"/>
          <w:color w:val="auto"/>
          <w:sz w:val="28"/>
          <w:szCs w:val="28"/>
          <w:highlight w:val="none"/>
        </w:rPr>
        <w:t>3</w:t>
      </w:r>
      <w:r>
        <w:rPr>
          <w:rFonts w:hint="eastAsia" w:ascii="宋体" w:hAnsi="宋体" w:cs="宋体"/>
          <w:color w:val="auto"/>
          <w:sz w:val="28"/>
          <w:szCs w:val="28"/>
          <w:highlight w:val="none"/>
        </w:rPr>
        <w:t>镇，总面积</w:t>
      </w:r>
      <w:r>
        <w:rPr>
          <w:rFonts w:ascii="宋体" w:hAnsi="宋体" w:cs="宋体"/>
          <w:color w:val="auto"/>
          <w:sz w:val="28"/>
          <w:szCs w:val="28"/>
          <w:highlight w:val="none"/>
        </w:rPr>
        <w:t>223</w:t>
      </w:r>
      <w:r>
        <w:rPr>
          <w:rFonts w:hint="eastAsia" w:ascii="宋体" w:hAnsi="宋体" w:cs="宋体"/>
          <w:color w:val="auto"/>
          <w:sz w:val="28"/>
          <w:szCs w:val="28"/>
          <w:highlight w:val="none"/>
        </w:rPr>
        <w:t>平方公里，城市建成区面积</w:t>
      </w:r>
      <w:r>
        <w:rPr>
          <w:rFonts w:ascii="宋体" w:hAnsi="宋体" w:cs="宋体"/>
          <w:color w:val="auto"/>
          <w:sz w:val="28"/>
          <w:szCs w:val="28"/>
          <w:highlight w:val="none"/>
        </w:rPr>
        <w:t>59.6</w:t>
      </w:r>
      <w:r>
        <w:rPr>
          <w:rFonts w:hint="eastAsia" w:ascii="宋体" w:hAnsi="宋体" w:cs="宋体"/>
          <w:color w:val="auto"/>
          <w:sz w:val="28"/>
          <w:szCs w:val="28"/>
          <w:highlight w:val="none"/>
        </w:rPr>
        <w:t>平方公里，常住人口</w:t>
      </w:r>
      <w:r>
        <w:rPr>
          <w:rFonts w:ascii="宋体" w:hAnsi="宋体" w:cs="宋体"/>
          <w:color w:val="auto"/>
          <w:sz w:val="28"/>
          <w:szCs w:val="28"/>
          <w:highlight w:val="none"/>
        </w:rPr>
        <w:t>22.3</w:t>
      </w:r>
      <w:r>
        <w:rPr>
          <w:rFonts w:hint="eastAsia" w:ascii="宋体" w:hAnsi="宋体" w:cs="宋体"/>
          <w:color w:val="auto"/>
          <w:sz w:val="28"/>
          <w:szCs w:val="28"/>
          <w:highlight w:val="none"/>
        </w:rPr>
        <w:t>万人。</w:t>
      </w:r>
      <w:r>
        <w:rPr>
          <w:rFonts w:ascii="宋体" w:hAnsi="宋体" w:cs="宋体"/>
          <w:color w:val="auto"/>
          <w:sz w:val="28"/>
          <w:szCs w:val="28"/>
          <w:highlight w:val="none"/>
        </w:rPr>
        <w:t>2020</w:t>
      </w:r>
      <w:r>
        <w:rPr>
          <w:rFonts w:hint="eastAsia" w:ascii="宋体" w:hAnsi="宋体" w:cs="宋体"/>
          <w:color w:val="auto"/>
          <w:sz w:val="28"/>
          <w:szCs w:val="28"/>
          <w:highlight w:val="none"/>
        </w:rPr>
        <w:t>年地区生产总值同比增长</w:t>
      </w:r>
      <w:r>
        <w:rPr>
          <w:rFonts w:ascii="宋体" w:hAnsi="宋体" w:cs="宋体"/>
          <w:color w:val="auto"/>
          <w:sz w:val="28"/>
          <w:szCs w:val="28"/>
          <w:highlight w:val="none"/>
        </w:rPr>
        <w:t>3.7%</w:t>
      </w:r>
      <w:r>
        <w:rPr>
          <w:rFonts w:hint="eastAsia" w:ascii="宋体" w:hAnsi="宋体" w:cs="宋体"/>
          <w:color w:val="auto"/>
          <w:sz w:val="28"/>
          <w:szCs w:val="28"/>
          <w:highlight w:val="none"/>
        </w:rPr>
        <w:t>，一般公共预算收入同比增长</w:t>
      </w:r>
      <w:r>
        <w:rPr>
          <w:rFonts w:ascii="宋体" w:hAnsi="宋体" w:cs="宋体"/>
          <w:color w:val="auto"/>
          <w:sz w:val="28"/>
          <w:szCs w:val="28"/>
          <w:highlight w:val="none"/>
        </w:rPr>
        <w:t>2.1%</w:t>
      </w:r>
      <w:r>
        <w:rPr>
          <w:rFonts w:hint="eastAsia" w:ascii="宋体" w:hAnsi="宋体" w:cs="宋体"/>
          <w:color w:val="auto"/>
          <w:sz w:val="28"/>
          <w:szCs w:val="28"/>
          <w:highlight w:val="none"/>
        </w:rPr>
        <w:t>，工业应税销售连续两年站稳千亿元，圆满完成当年签约项目固投</w:t>
      </w:r>
      <w:r>
        <w:rPr>
          <w:rFonts w:ascii="宋体" w:hAnsi="宋体" w:cs="宋体"/>
          <w:color w:val="auto"/>
          <w:sz w:val="28"/>
          <w:szCs w:val="28"/>
          <w:highlight w:val="none"/>
        </w:rPr>
        <w:t>44</w:t>
      </w:r>
      <w:r>
        <w:rPr>
          <w:rFonts w:hint="eastAsia" w:ascii="宋体" w:hAnsi="宋体" w:cs="宋体"/>
          <w:color w:val="auto"/>
          <w:sz w:val="28"/>
          <w:szCs w:val="28"/>
          <w:highlight w:val="none"/>
        </w:rPr>
        <w:t>亿元核心目标。在最新发布的《全国经开区营商环境指数报告》中，跻身</w:t>
      </w:r>
      <w:r>
        <w:rPr>
          <w:rFonts w:ascii="宋体" w:hAnsi="宋体" w:cs="宋体"/>
          <w:color w:val="auto"/>
          <w:sz w:val="28"/>
          <w:szCs w:val="28"/>
          <w:highlight w:val="none"/>
        </w:rPr>
        <w:t>219</w:t>
      </w:r>
      <w:r>
        <w:rPr>
          <w:rFonts w:hint="eastAsia" w:ascii="宋体" w:hAnsi="宋体" w:cs="宋体"/>
          <w:color w:val="auto"/>
          <w:sz w:val="28"/>
          <w:szCs w:val="28"/>
          <w:highlight w:val="none"/>
        </w:rPr>
        <w:t>家国家级经开区第</w:t>
      </w:r>
      <w:r>
        <w:rPr>
          <w:rFonts w:ascii="宋体" w:hAnsi="宋体" w:cs="宋体"/>
          <w:color w:val="auto"/>
          <w:sz w:val="28"/>
          <w:szCs w:val="28"/>
          <w:highlight w:val="none"/>
        </w:rPr>
        <w:t>18</w:t>
      </w:r>
      <w:r>
        <w:rPr>
          <w:rFonts w:hint="eastAsia" w:ascii="宋体" w:hAnsi="宋体" w:cs="宋体"/>
          <w:color w:val="auto"/>
          <w:sz w:val="28"/>
          <w:szCs w:val="28"/>
          <w:highlight w:val="none"/>
        </w:rPr>
        <w:t>位，房价收入比排名全国第一，商务成本指数、高铁便利指数排名全国第二。</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新区因港而生，地处长江和京杭大运河十字交汇处，坐拥天然深水岸线</w:t>
      </w:r>
      <w:r>
        <w:rPr>
          <w:rFonts w:ascii="宋体" w:hAnsi="宋体" w:cs="宋体"/>
          <w:color w:val="auto"/>
          <w:sz w:val="28"/>
          <w:szCs w:val="28"/>
          <w:highlight w:val="none"/>
        </w:rPr>
        <w:t>17</w:t>
      </w:r>
      <w:r>
        <w:rPr>
          <w:rFonts w:hint="eastAsia" w:ascii="宋体" w:hAnsi="宋体" w:cs="宋体"/>
          <w:color w:val="auto"/>
          <w:sz w:val="28"/>
          <w:szCs w:val="28"/>
          <w:highlight w:val="none"/>
        </w:rPr>
        <w:t>公里，傲踞国家一类开放口岸。随着五峰山长江大桥、连镇高铁大港南站建成通车，京沪高速南接线等重大交通工程即将建成开通，镇大铁路升级、瑞山站综合物流基地、通用机场二期建设提上日程，“铁公水空”多式联运的现代综合交通体系正在加速提升完善。</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新区抢抓“长三角一体化”战略机遇，聚焦新能源、新材料、航空航天、生命健康“四个一”产业，加速推动企业集聚、要素集约、技术集成、产业集群、服务集中。新能源以孚能科技、中节能为龙头，动力电池与太阳能光伏“双轮驱动”前行；新材料以索尔维、天奈科技为引领，深耕高端电子化学品、先进高分子材料、高性能复合材料等领域；航空航天以菲舍尔、航天海鹰、航发优材为核心，主攻整机制造、机场运营、量产配套、军民融合“四大领域”；生命健康以金斯瑞、吉贝尔、英科医疗为支撑，重点打造高端制药、医疗器械、健康服务为一体、二三产融合发展的大健康产业链。</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新区山川秀美，风景怡人，区内分布有大小山体</w:t>
      </w:r>
      <w:r>
        <w:rPr>
          <w:rFonts w:ascii="宋体" w:hAnsi="宋体" w:cs="宋体"/>
          <w:color w:val="auto"/>
          <w:sz w:val="28"/>
          <w:szCs w:val="28"/>
          <w:highlight w:val="none"/>
        </w:rPr>
        <w:t>10</w:t>
      </w:r>
      <w:r>
        <w:rPr>
          <w:rFonts w:hint="eastAsia" w:ascii="宋体" w:hAnsi="宋体" w:cs="宋体"/>
          <w:color w:val="auto"/>
          <w:sz w:val="28"/>
          <w:szCs w:val="28"/>
          <w:highlight w:val="none"/>
        </w:rPr>
        <w:t>余座，水系纵横、水网密布，近年来累计投资近</w:t>
      </w:r>
      <w:r>
        <w:rPr>
          <w:rFonts w:ascii="宋体" w:hAnsi="宋体" w:cs="宋体"/>
          <w:color w:val="auto"/>
          <w:sz w:val="28"/>
          <w:szCs w:val="28"/>
          <w:highlight w:val="none"/>
        </w:rPr>
        <w:t>60</w:t>
      </w:r>
      <w:r>
        <w:rPr>
          <w:rFonts w:hint="eastAsia" w:ascii="宋体" w:hAnsi="宋体" w:cs="宋体"/>
          <w:color w:val="auto"/>
          <w:sz w:val="28"/>
          <w:szCs w:val="28"/>
          <w:highlight w:val="none"/>
        </w:rPr>
        <w:t>亿元用于大气、河流、景区等生态环境的维护改善。区内功能配套完善、服务设施健全，加速推进青创家园品质生活圈、城市公园文旅生活圈、滨江田园休闲生活圈“三圈三园”建设，导入国际水准的人才公寓、医疗保健、高端教育资源，为在新区投资兴业、安居乐业提供优质服务。</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新区持续深化“放管服”改革，在全省率先成立行政审批局，打造“</w:t>
      </w:r>
      <w:r>
        <w:rPr>
          <w:rFonts w:ascii="宋体" w:hAnsi="宋体" w:cs="宋体"/>
          <w:color w:val="auto"/>
          <w:sz w:val="28"/>
          <w:szCs w:val="28"/>
          <w:highlight w:val="none"/>
        </w:rPr>
        <w:t>1113</w:t>
      </w:r>
      <w:r>
        <w:rPr>
          <w:rFonts w:hint="eastAsia" w:ascii="宋体" w:hAnsi="宋体" w:cs="宋体"/>
          <w:color w:val="auto"/>
          <w:sz w:val="28"/>
          <w:szCs w:val="28"/>
          <w:highlight w:val="none"/>
        </w:rPr>
        <w:t>”审批效率新标杆，探索“不见面”审批新模式，推广“项目网格”专班服务，审批效能达到全省最优。新区长期保持良好的金融生态，</w:t>
      </w:r>
      <w:r>
        <w:rPr>
          <w:rFonts w:ascii="宋体" w:hAnsi="宋体" w:cs="宋体"/>
          <w:color w:val="auto"/>
          <w:sz w:val="28"/>
          <w:szCs w:val="28"/>
          <w:highlight w:val="none"/>
        </w:rPr>
        <w:t>2020</w:t>
      </w:r>
      <w:r>
        <w:rPr>
          <w:rFonts w:hint="eastAsia" w:ascii="宋体" w:hAnsi="宋体" w:cs="宋体"/>
          <w:color w:val="auto"/>
          <w:sz w:val="28"/>
          <w:szCs w:val="28"/>
          <w:highlight w:val="none"/>
        </w:rPr>
        <w:t>年全区不良贷款率仅</w:t>
      </w:r>
      <w:r>
        <w:rPr>
          <w:rFonts w:ascii="宋体" w:hAnsi="宋体" w:cs="宋体"/>
          <w:color w:val="auto"/>
          <w:sz w:val="28"/>
          <w:szCs w:val="28"/>
          <w:highlight w:val="none"/>
        </w:rPr>
        <w:t>0.63%</w:t>
      </w:r>
      <w:r>
        <w:rPr>
          <w:rFonts w:hint="eastAsia" w:ascii="宋体" w:hAnsi="宋体" w:cs="宋体"/>
          <w:color w:val="auto"/>
          <w:sz w:val="28"/>
          <w:szCs w:val="28"/>
          <w:highlight w:val="none"/>
        </w:rPr>
        <w:t>，制造业企业、小微企业贷款余额同比增长</w:t>
      </w:r>
      <w:r>
        <w:rPr>
          <w:rFonts w:ascii="宋体" w:hAnsi="宋体" w:cs="宋体"/>
          <w:color w:val="auto"/>
          <w:sz w:val="28"/>
          <w:szCs w:val="28"/>
          <w:highlight w:val="none"/>
        </w:rPr>
        <w:t>11.9%</w:t>
      </w:r>
      <w:r>
        <w:rPr>
          <w:rFonts w:hint="eastAsia" w:ascii="宋体" w:hAnsi="宋体" w:cs="宋体"/>
          <w:color w:val="auto"/>
          <w:sz w:val="28"/>
          <w:szCs w:val="28"/>
          <w:highlight w:val="none"/>
        </w:rPr>
        <w:t>、</w:t>
      </w:r>
      <w:r>
        <w:rPr>
          <w:rFonts w:ascii="宋体" w:hAnsi="宋体" w:cs="宋体"/>
          <w:color w:val="auto"/>
          <w:sz w:val="28"/>
          <w:szCs w:val="28"/>
          <w:highlight w:val="none"/>
        </w:rPr>
        <w:t>17.8%</w:t>
      </w:r>
      <w:r>
        <w:rPr>
          <w:rFonts w:hint="eastAsia" w:ascii="宋体" w:hAnsi="宋体" w:cs="宋体"/>
          <w:color w:val="auto"/>
          <w:sz w:val="28"/>
          <w:szCs w:val="28"/>
          <w:highlight w:val="none"/>
        </w:rPr>
        <w:t>，构建了由各类基金、融资租赁、银行信贷等组成的较为完善的金融体系，为企业提供定制化金融服务，助力企业加速成长壮大。</w:t>
      </w:r>
    </w:p>
    <w:p>
      <w:pPr>
        <w:pStyle w:val="41"/>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6.1.3</w:t>
      </w:r>
      <w:r>
        <w:rPr>
          <w:rFonts w:hint="eastAsia" w:ascii="宋体" w:hAnsi="宋体" w:cs="宋体"/>
          <w:color w:val="auto"/>
          <w:sz w:val="28"/>
          <w:szCs w:val="28"/>
          <w:highlight w:val="none"/>
        </w:rPr>
        <w:t>外部交通运输状况</w:t>
      </w:r>
      <w:bookmarkEnd w:id="360"/>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交通：镇江新区交通优势突出，路网水网航线交织，组成了以京杭大运河为中轴，以沪宁高速公路、</w:t>
      </w:r>
      <w:r>
        <w:rPr>
          <w:rFonts w:ascii="宋体" w:hAnsi="宋体" w:cs="宋体"/>
          <w:color w:val="auto"/>
          <w:sz w:val="28"/>
          <w:szCs w:val="28"/>
          <w:highlight w:val="none"/>
        </w:rPr>
        <w:t>312</w:t>
      </w:r>
      <w:r>
        <w:rPr>
          <w:rFonts w:hint="eastAsia" w:ascii="宋体" w:hAnsi="宋体" w:cs="宋体"/>
          <w:color w:val="auto"/>
          <w:sz w:val="28"/>
          <w:szCs w:val="28"/>
          <w:highlight w:val="none"/>
        </w:rPr>
        <w:t>国道和京沪铁路为骨架，以润扬大桥、五峰山大桥为延伸，以四个国际机场为支点的立体交通网络，交通极为便利。</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航空：距上海虹桥机场</w:t>
      </w:r>
      <w:r>
        <w:rPr>
          <w:rFonts w:ascii="宋体" w:hAnsi="宋体" w:cs="宋体"/>
          <w:color w:val="auto"/>
          <w:sz w:val="28"/>
          <w:szCs w:val="28"/>
          <w:highlight w:val="none"/>
        </w:rPr>
        <w:t>220km</w:t>
      </w:r>
      <w:r>
        <w:rPr>
          <w:rFonts w:hint="eastAsia" w:ascii="宋体" w:hAnsi="宋体" w:cs="宋体"/>
          <w:color w:val="auto"/>
          <w:sz w:val="28"/>
          <w:szCs w:val="28"/>
          <w:highlight w:val="none"/>
        </w:rPr>
        <w:t>，浦东机场</w:t>
      </w:r>
      <w:r>
        <w:rPr>
          <w:rFonts w:ascii="宋体" w:hAnsi="宋体" w:cs="宋体"/>
          <w:color w:val="auto"/>
          <w:sz w:val="28"/>
          <w:szCs w:val="28"/>
          <w:highlight w:val="none"/>
        </w:rPr>
        <w:t>255km</w:t>
      </w:r>
      <w:r>
        <w:rPr>
          <w:rFonts w:hint="eastAsia" w:ascii="宋体" w:hAnsi="宋体" w:cs="宋体"/>
          <w:color w:val="auto"/>
          <w:sz w:val="28"/>
          <w:szCs w:val="28"/>
          <w:highlight w:val="none"/>
        </w:rPr>
        <w:t>；距南京禄口国际机场</w:t>
      </w:r>
      <w:r>
        <w:rPr>
          <w:rFonts w:ascii="宋体" w:hAnsi="宋体" w:cs="宋体"/>
          <w:color w:val="auto"/>
          <w:sz w:val="28"/>
          <w:szCs w:val="28"/>
          <w:highlight w:val="none"/>
        </w:rPr>
        <w:t>90 km</w:t>
      </w:r>
      <w:r>
        <w:rPr>
          <w:rFonts w:hint="eastAsia" w:ascii="宋体" w:hAnsi="宋体" w:cs="宋体"/>
          <w:color w:val="auto"/>
          <w:sz w:val="28"/>
          <w:szCs w:val="28"/>
          <w:highlight w:val="none"/>
        </w:rPr>
        <w:t>；距常州机场</w:t>
      </w:r>
      <w:r>
        <w:rPr>
          <w:rFonts w:ascii="宋体" w:hAnsi="宋体" w:cs="宋体"/>
          <w:color w:val="auto"/>
          <w:sz w:val="28"/>
          <w:szCs w:val="28"/>
          <w:highlight w:val="none"/>
        </w:rPr>
        <w:t>60 km</w:t>
      </w:r>
      <w:r>
        <w:rPr>
          <w:rFonts w:hint="eastAsia" w:ascii="宋体" w:hAnsi="宋体" w:cs="宋体"/>
          <w:color w:val="auto"/>
          <w:sz w:val="28"/>
          <w:szCs w:val="28"/>
          <w:highlight w:val="none"/>
        </w:rPr>
        <w:t>。通往各机场全程高速公路。</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铁路：铁路货运专用线与沪宁铁路相连，直抵镇江新区大港港区。沪宁轻轨铁路年内也将开工建设，建成后镇江到上海仅</w:t>
      </w:r>
      <w:r>
        <w:rPr>
          <w:rFonts w:ascii="宋体" w:hAnsi="宋体" w:cs="宋体"/>
          <w:color w:val="auto"/>
          <w:sz w:val="28"/>
          <w:szCs w:val="28"/>
          <w:highlight w:val="none"/>
        </w:rPr>
        <w:t>1</w:t>
      </w:r>
      <w:r>
        <w:rPr>
          <w:rFonts w:hint="eastAsia" w:ascii="宋体" w:hAnsi="宋体" w:cs="宋体"/>
          <w:color w:val="auto"/>
          <w:sz w:val="28"/>
          <w:szCs w:val="28"/>
          <w:highlight w:val="none"/>
        </w:rPr>
        <w:t>小时即可抵达。</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公路：镇江新区内道路纵横交错，沪宁高速公路有两个出口分别连接大港片区（</w:t>
      </w:r>
      <w:r>
        <w:rPr>
          <w:rFonts w:ascii="宋体" w:hAnsi="宋体" w:cs="宋体"/>
          <w:color w:val="auto"/>
          <w:sz w:val="28"/>
          <w:szCs w:val="28"/>
          <w:highlight w:val="none"/>
        </w:rPr>
        <w:t>15km</w:t>
      </w:r>
      <w:r>
        <w:rPr>
          <w:rFonts w:hint="eastAsia" w:ascii="宋体" w:hAnsi="宋体" w:cs="宋体"/>
          <w:color w:val="auto"/>
          <w:sz w:val="28"/>
          <w:szCs w:val="28"/>
          <w:highlight w:val="none"/>
        </w:rPr>
        <w:t>）和丁卯片区（</w:t>
      </w:r>
      <w:r>
        <w:rPr>
          <w:rFonts w:ascii="宋体" w:hAnsi="宋体" w:cs="宋体"/>
          <w:color w:val="auto"/>
          <w:sz w:val="28"/>
          <w:szCs w:val="28"/>
          <w:highlight w:val="none"/>
        </w:rPr>
        <w:t>1km</w:t>
      </w:r>
      <w:r>
        <w:rPr>
          <w:rFonts w:hint="eastAsia" w:ascii="宋体" w:hAnsi="宋体" w:cs="宋体"/>
          <w:color w:val="auto"/>
          <w:sz w:val="28"/>
          <w:szCs w:val="28"/>
          <w:highlight w:val="none"/>
        </w:rPr>
        <w:t>），另有多条主要道路与</w:t>
      </w:r>
      <w:r>
        <w:rPr>
          <w:rFonts w:ascii="宋体" w:hAnsi="宋体" w:cs="宋体"/>
          <w:color w:val="auto"/>
          <w:sz w:val="28"/>
          <w:szCs w:val="28"/>
          <w:highlight w:val="none"/>
        </w:rPr>
        <w:t>312</w:t>
      </w:r>
      <w:r>
        <w:rPr>
          <w:rFonts w:hint="eastAsia" w:ascii="宋体" w:hAnsi="宋体" w:cs="宋体"/>
          <w:color w:val="auto"/>
          <w:sz w:val="28"/>
          <w:szCs w:val="28"/>
          <w:highlight w:val="none"/>
        </w:rPr>
        <w:t>国道、</w:t>
      </w:r>
      <w:r>
        <w:rPr>
          <w:rFonts w:ascii="宋体" w:hAnsi="宋体" w:cs="宋体"/>
          <w:color w:val="auto"/>
          <w:sz w:val="28"/>
          <w:szCs w:val="28"/>
          <w:highlight w:val="none"/>
        </w:rPr>
        <w:t>104</w:t>
      </w:r>
      <w:r>
        <w:rPr>
          <w:rFonts w:hint="eastAsia" w:ascii="宋体" w:hAnsi="宋体" w:cs="宋体"/>
          <w:color w:val="auto"/>
          <w:sz w:val="28"/>
          <w:szCs w:val="28"/>
          <w:highlight w:val="none"/>
        </w:rPr>
        <w:t>国道、沿江公路相连，交通极为方便。</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水运：</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1</w:t>
      </w:r>
      <w:r>
        <w:rPr>
          <w:rFonts w:hint="eastAsia" w:ascii="宋体" w:hAnsi="宋体" w:cs="宋体"/>
          <w:color w:val="auto"/>
          <w:sz w:val="28"/>
          <w:szCs w:val="28"/>
          <w:highlight w:val="none"/>
        </w:rPr>
        <w:t>）危化品输送码头：港龙石化码头是园区内唯一的危化品码头，位于园区西北角。码头岸线长</w:t>
      </w:r>
      <w:r>
        <w:rPr>
          <w:rFonts w:ascii="宋体" w:hAnsi="宋体" w:cs="宋体"/>
          <w:color w:val="auto"/>
          <w:sz w:val="28"/>
          <w:szCs w:val="28"/>
          <w:highlight w:val="none"/>
        </w:rPr>
        <w:t>364</w:t>
      </w:r>
      <w:r>
        <w:rPr>
          <w:rFonts w:hint="eastAsia" w:ascii="宋体" w:hAnsi="宋体" w:cs="宋体"/>
          <w:color w:val="auto"/>
          <w:sz w:val="28"/>
          <w:szCs w:val="28"/>
          <w:highlight w:val="none"/>
        </w:rPr>
        <w:t>米，海轮泊位为</w:t>
      </w:r>
      <w:r>
        <w:rPr>
          <w:rFonts w:ascii="宋体" w:hAnsi="宋体" w:cs="宋体"/>
          <w:color w:val="auto"/>
          <w:sz w:val="28"/>
          <w:szCs w:val="28"/>
          <w:highlight w:val="none"/>
        </w:rPr>
        <w:t>2.5</w:t>
      </w:r>
      <w:r>
        <w:rPr>
          <w:rFonts w:hint="eastAsia" w:ascii="宋体" w:hAnsi="宋体" w:cs="宋体"/>
          <w:color w:val="auto"/>
          <w:sz w:val="28"/>
          <w:szCs w:val="28"/>
          <w:highlight w:val="none"/>
        </w:rPr>
        <w:t>万吨级、</w:t>
      </w:r>
      <w:r>
        <w:rPr>
          <w:rFonts w:ascii="宋体" w:hAnsi="宋体" w:cs="宋体"/>
          <w:color w:val="auto"/>
          <w:sz w:val="28"/>
          <w:szCs w:val="28"/>
          <w:highlight w:val="none"/>
        </w:rPr>
        <w:t>5000</w:t>
      </w:r>
      <w:r>
        <w:rPr>
          <w:rFonts w:hint="eastAsia" w:ascii="宋体" w:hAnsi="宋体" w:cs="宋体"/>
          <w:color w:val="auto"/>
          <w:sz w:val="28"/>
          <w:szCs w:val="28"/>
          <w:highlight w:val="none"/>
        </w:rPr>
        <w:t>吨级（兼靠</w:t>
      </w:r>
      <w:r>
        <w:rPr>
          <w:rFonts w:ascii="宋体" w:hAnsi="宋体" w:cs="宋体"/>
          <w:color w:val="auto"/>
          <w:sz w:val="28"/>
          <w:szCs w:val="28"/>
          <w:highlight w:val="none"/>
        </w:rPr>
        <w:t>8500</w:t>
      </w:r>
      <w:r>
        <w:rPr>
          <w:rFonts w:hint="eastAsia" w:ascii="宋体" w:hAnsi="宋体" w:cs="宋体"/>
          <w:color w:val="auto"/>
          <w:sz w:val="28"/>
          <w:szCs w:val="28"/>
          <w:highlight w:val="none"/>
        </w:rPr>
        <w:t>吨海轮）和</w:t>
      </w:r>
      <w:r>
        <w:rPr>
          <w:rFonts w:ascii="宋体" w:hAnsi="宋体" w:cs="宋体"/>
          <w:color w:val="auto"/>
          <w:sz w:val="28"/>
          <w:szCs w:val="28"/>
          <w:highlight w:val="none"/>
        </w:rPr>
        <w:t>500</w:t>
      </w:r>
      <w:r>
        <w:rPr>
          <w:rFonts w:hint="eastAsia" w:ascii="宋体" w:hAnsi="宋体" w:cs="宋体"/>
          <w:color w:val="auto"/>
          <w:sz w:val="28"/>
          <w:szCs w:val="28"/>
          <w:highlight w:val="none"/>
        </w:rPr>
        <w:t>吨级各一座，码头设计总吞吐量</w:t>
      </w:r>
      <w:r>
        <w:rPr>
          <w:rFonts w:ascii="宋体" w:hAnsi="宋体" w:cs="宋体"/>
          <w:color w:val="auto"/>
          <w:sz w:val="28"/>
          <w:szCs w:val="28"/>
          <w:highlight w:val="none"/>
        </w:rPr>
        <w:t>280</w:t>
      </w:r>
      <w:r>
        <w:rPr>
          <w:rFonts w:hint="eastAsia" w:ascii="宋体" w:hAnsi="宋体" w:cs="宋体"/>
          <w:color w:val="auto"/>
          <w:sz w:val="28"/>
          <w:szCs w:val="28"/>
          <w:highlight w:val="none"/>
        </w:rPr>
        <w:t>万吨</w:t>
      </w:r>
      <w:r>
        <w:rPr>
          <w:rFonts w:ascii="宋体" w:hAnsi="宋体" w:cs="宋体"/>
          <w:color w:val="auto"/>
          <w:sz w:val="28"/>
          <w:szCs w:val="28"/>
          <w:highlight w:val="none"/>
        </w:rPr>
        <w:t>/</w:t>
      </w:r>
      <w:r>
        <w:rPr>
          <w:rFonts w:hint="eastAsia" w:ascii="宋体" w:hAnsi="宋体" w:cs="宋体"/>
          <w:color w:val="auto"/>
          <w:sz w:val="28"/>
          <w:szCs w:val="28"/>
          <w:highlight w:val="none"/>
        </w:rPr>
        <w:t>年。</w:t>
      </w:r>
    </w:p>
    <w:p>
      <w:pPr>
        <w:pStyle w:val="41"/>
        <w:spacing w:line="560" w:lineRule="exact"/>
        <w:ind w:firstLine="31680"/>
        <w:rPr>
          <w:rFonts w:ascii="宋体" w:cs="宋体"/>
          <w:color w:val="auto"/>
          <w:sz w:val="28"/>
          <w:szCs w:val="28"/>
          <w:highlight w:val="none"/>
        </w:rPr>
      </w:pPr>
      <w:bookmarkStart w:id="361" w:name="_Toc469"/>
      <w:bookmarkStart w:id="362" w:name="_Toc187826684"/>
      <w:bookmarkStart w:id="363" w:name="_Toc107219149"/>
      <w:bookmarkStart w:id="364" w:name="_Toc136052573"/>
      <w:r>
        <w:rPr>
          <w:rFonts w:hint="eastAsia" w:ascii="宋体" w:hAnsi="宋体" w:cs="宋体"/>
          <w:color w:val="auto"/>
          <w:sz w:val="28"/>
          <w:szCs w:val="28"/>
          <w:highlight w:val="none"/>
        </w:rPr>
        <w:t>（</w:t>
      </w:r>
      <w:r>
        <w:rPr>
          <w:rFonts w:ascii="宋体" w:hAnsi="宋体" w:cs="宋体"/>
          <w:color w:val="auto"/>
          <w:sz w:val="28"/>
          <w:szCs w:val="28"/>
          <w:highlight w:val="none"/>
        </w:rPr>
        <w:t>2</w:t>
      </w:r>
      <w:r>
        <w:rPr>
          <w:rFonts w:hint="eastAsia" w:ascii="宋体" w:hAnsi="宋体" w:cs="宋体"/>
          <w:color w:val="auto"/>
          <w:sz w:val="28"/>
          <w:szCs w:val="28"/>
          <w:highlight w:val="none"/>
        </w:rPr>
        <w:t>）散货码头：大港港区码头岸线总长近</w:t>
      </w:r>
      <w:r>
        <w:rPr>
          <w:rFonts w:ascii="宋体" w:hAnsi="宋体" w:cs="宋体"/>
          <w:color w:val="auto"/>
          <w:sz w:val="28"/>
          <w:szCs w:val="28"/>
          <w:highlight w:val="none"/>
        </w:rPr>
        <w:t>2</w:t>
      </w:r>
      <w:r>
        <w:rPr>
          <w:rFonts w:hint="eastAsia" w:ascii="宋体" w:hAnsi="宋体" w:cs="宋体"/>
          <w:color w:val="auto"/>
          <w:sz w:val="28"/>
          <w:szCs w:val="28"/>
          <w:highlight w:val="none"/>
        </w:rPr>
        <w:t>公里，万吨级以上泊位</w:t>
      </w:r>
      <w:r>
        <w:rPr>
          <w:rFonts w:ascii="宋体" w:hAnsi="宋体" w:cs="宋体"/>
          <w:color w:val="auto"/>
          <w:sz w:val="28"/>
          <w:szCs w:val="28"/>
          <w:highlight w:val="none"/>
        </w:rPr>
        <w:t>14</w:t>
      </w:r>
      <w:r>
        <w:rPr>
          <w:rFonts w:hint="eastAsia" w:ascii="宋体" w:hAnsi="宋体" w:cs="宋体"/>
          <w:color w:val="auto"/>
          <w:sz w:val="28"/>
          <w:szCs w:val="28"/>
          <w:highlight w:val="none"/>
        </w:rPr>
        <w:t>个，最大泊位能力为</w:t>
      </w:r>
      <w:r>
        <w:rPr>
          <w:rFonts w:ascii="宋体" w:hAnsi="宋体" w:cs="宋体"/>
          <w:color w:val="auto"/>
          <w:sz w:val="28"/>
          <w:szCs w:val="28"/>
          <w:highlight w:val="none"/>
        </w:rPr>
        <w:t>8</w:t>
      </w:r>
      <w:r>
        <w:rPr>
          <w:rFonts w:hint="eastAsia" w:ascii="宋体" w:hAnsi="宋体" w:cs="宋体"/>
          <w:color w:val="auto"/>
          <w:sz w:val="28"/>
          <w:szCs w:val="28"/>
          <w:highlight w:val="none"/>
        </w:rPr>
        <w:t>万吨，年吞吐量约</w:t>
      </w:r>
      <w:r>
        <w:rPr>
          <w:rFonts w:ascii="宋体" w:hAnsi="宋体" w:cs="宋体"/>
          <w:color w:val="auto"/>
          <w:sz w:val="28"/>
          <w:szCs w:val="28"/>
          <w:highlight w:val="none"/>
        </w:rPr>
        <w:t>1</w:t>
      </w:r>
      <w:r>
        <w:rPr>
          <w:rFonts w:hint="eastAsia" w:ascii="宋体" w:hAnsi="宋体" w:cs="宋体"/>
          <w:color w:val="auto"/>
          <w:sz w:val="28"/>
          <w:szCs w:val="28"/>
          <w:highlight w:val="none"/>
        </w:rPr>
        <w:t>亿吨。镇江</w:t>
      </w:r>
      <w:r>
        <w:rPr>
          <w:rFonts w:ascii="宋体" w:hAnsi="宋体" w:cs="宋体"/>
          <w:color w:val="auto"/>
          <w:sz w:val="28"/>
          <w:szCs w:val="28"/>
          <w:highlight w:val="none"/>
        </w:rPr>
        <w:t>70%</w:t>
      </w:r>
      <w:r>
        <w:rPr>
          <w:rFonts w:hint="eastAsia" w:ascii="宋体" w:hAnsi="宋体" w:cs="宋体"/>
          <w:color w:val="auto"/>
          <w:sz w:val="28"/>
          <w:szCs w:val="28"/>
          <w:highlight w:val="none"/>
        </w:rPr>
        <w:t>的散杂货水运吞吐均由其承担。</w:t>
      </w:r>
    </w:p>
    <w:p>
      <w:pPr>
        <w:pStyle w:val="41"/>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 xml:space="preserve">6.1.4  </w:t>
      </w:r>
      <w:r>
        <w:rPr>
          <w:rFonts w:hint="eastAsia" w:ascii="宋体" w:hAnsi="宋体" w:cs="宋体"/>
          <w:color w:val="auto"/>
          <w:sz w:val="28"/>
          <w:szCs w:val="28"/>
          <w:highlight w:val="none"/>
        </w:rPr>
        <w:t>公用工程条件</w:t>
      </w:r>
      <w:bookmarkEnd w:id="361"/>
      <w:bookmarkEnd w:id="362"/>
      <w:bookmarkEnd w:id="363"/>
      <w:bookmarkEnd w:id="364"/>
    </w:p>
    <w:p>
      <w:pPr>
        <w:pStyle w:val="41"/>
        <w:spacing w:line="560" w:lineRule="exact"/>
        <w:ind w:firstLine="31680"/>
        <w:rPr>
          <w:rFonts w:ascii="宋体" w:cs="宋体"/>
          <w:color w:val="auto"/>
          <w:sz w:val="28"/>
          <w:szCs w:val="28"/>
          <w:highlight w:val="none"/>
        </w:rPr>
      </w:pPr>
      <w:bookmarkStart w:id="365" w:name="_Toc23509"/>
      <w:r>
        <w:rPr>
          <w:rFonts w:ascii="宋体" w:hAnsi="宋体" w:cs="宋体"/>
          <w:color w:val="auto"/>
          <w:sz w:val="28"/>
          <w:szCs w:val="28"/>
          <w:highlight w:val="none"/>
        </w:rPr>
        <w:t xml:space="preserve">6.1.4.1 </w:t>
      </w:r>
      <w:r>
        <w:rPr>
          <w:rFonts w:hint="eastAsia" w:ascii="宋体" w:hAnsi="宋体" w:cs="宋体"/>
          <w:color w:val="auto"/>
          <w:sz w:val="28"/>
          <w:szCs w:val="28"/>
          <w:highlight w:val="none"/>
        </w:rPr>
        <w:t>水源及排水条件</w:t>
      </w:r>
      <w:bookmarkEnd w:id="365"/>
    </w:p>
    <w:p>
      <w:pPr>
        <w:pStyle w:val="41"/>
        <w:spacing w:line="560" w:lineRule="exact"/>
        <w:ind w:firstLine="31680"/>
        <w:rPr>
          <w:rFonts w:ascii="宋体" w:hAnsi="宋体" w:cs="宋体"/>
          <w:color w:val="auto"/>
          <w:sz w:val="28"/>
          <w:szCs w:val="28"/>
          <w:highlight w:val="none"/>
        </w:rPr>
      </w:pPr>
      <w:r>
        <w:rPr>
          <w:rFonts w:hint="eastAsia" w:ascii="宋体" w:hAnsi="宋体" w:cs="宋体"/>
          <w:color w:val="auto"/>
          <w:sz w:val="28"/>
          <w:szCs w:val="28"/>
          <w:highlight w:val="none"/>
        </w:rPr>
        <w:t>镇江新区自来水管网已与镇江市联成一体，供水能力完全能够满足要求，水质符合国家颁布的卫生标准。此外，工业用水方面，镇江新区全资控股公司江苏大港股份有限公司建有工业用水厂，一期规模为</w:t>
      </w:r>
      <w:r>
        <w:rPr>
          <w:rFonts w:ascii="宋体" w:hAnsi="宋体" w:cs="宋体"/>
          <w:color w:val="auto"/>
          <w:sz w:val="28"/>
          <w:szCs w:val="28"/>
          <w:highlight w:val="none"/>
        </w:rPr>
        <w:t>5</w:t>
      </w:r>
      <w:r>
        <w:rPr>
          <w:rFonts w:hint="eastAsia" w:ascii="宋体" w:hAnsi="宋体" w:cs="宋体"/>
          <w:color w:val="auto"/>
          <w:sz w:val="28"/>
          <w:szCs w:val="28"/>
          <w:highlight w:val="none"/>
        </w:rPr>
        <w:t>万吨</w:t>
      </w:r>
      <w:r>
        <w:rPr>
          <w:rFonts w:ascii="宋体" w:hAnsi="宋体" w:cs="宋体"/>
          <w:color w:val="auto"/>
          <w:sz w:val="28"/>
          <w:szCs w:val="28"/>
          <w:highlight w:val="none"/>
        </w:rPr>
        <w:t>/</w:t>
      </w:r>
      <w:r>
        <w:rPr>
          <w:rFonts w:hint="eastAsia" w:ascii="宋体" w:hAnsi="宋体" w:cs="宋体"/>
          <w:color w:val="auto"/>
          <w:sz w:val="28"/>
          <w:szCs w:val="28"/>
          <w:highlight w:val="none"/>
        </w:rPr>
        <w:t>日，已投入使用。</w:t>
      </w:r>
      <w:r>
        <w:rPr>
          <w:rFonts w:ascii="宋体" w:hAnsi="宋体" w:cs="宋体"/>
          <w:color w:val="auto"/>
          <w:sz w:val="28"/>
          <w:szCs w:val="28"/>
          <w:highlight w:val="none"/>
        </w:rPr>
        <w:t xml:space="preserve">                                                                                                                                                                                                                 </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镇江新区已建成日处理</w:t>
      </w:r>
      <w:r>
        <w:rPr>
          <w:rFonts w:ascii="宋体" w:hAnsi="宋体" w:cs="宋体"/>
          <w:color w:val="auto"/>
          <w:sz w:val="28"/>
          <w:szCs w:val="28"/>
          <w:highlight w:val="none"/>
        </w:rPr>
        <w:t>2</w:t>
      </w:r>
      <w:r>
        <w:rPr>
          <w:rFonts w:hint="eastAsia" w:ascii="宋体" w:hAnsi="宋体" w:cs="宋体"/>
          <w:color w:val="auto"/>
          <w:sz w:val="28"/>
          <w:szCs w:val="28"/>
          <w:highlight w:val="none"/>
        </w:rPr>
        <w:t>万吨污水处理厂一座，只要该公司的污水排放能有符合国家综合排放标准三级即可直接排入污水管网。镇江新区可以满足本项目的供水和排水要求。</w:t>
      </w:r>
    </w:p>
    <w:p>
      <w:pPr>
        <w:pStyle w:val="41"/>
        <w:spacing w:line="560" w:lineRule="exact"/>
        <w:ind w:firstLine="31680"/>
        <w:rPr>
          <w:rFonts w:ascii="宋体" w:cs="宋体"/>
          <w:color w:val="auto"/>
          <w:sz w:val="28"/>
          <w:szCs w:val="28"/>
          <w:highlight w:val="none"/>
        </w:rPr>
      </w:pPr>
      <w:bookmarkStart w:id="366" w:name="_Toc3436"/>
      <w:r>
        <w:rPr>
          <w:rFonts w:ascii="宋体" w:hAnsi="宋体" w:cs="宋体"/>
          <w:color w:val="auto"/>
          <w:sz w:val="28"/>
          <w:szCs w:val="28"/>
          <w:highlight w:val="none"/>
        </w:rPr>
        <w:t>6.1.4.2</w:t>
      </w:r>
      <w:r>
        <w:rPr>
          <w:rFonts w:hint="eastAsia" w:ascii="宋体" w:hAnsi="宋体" w:cs="宋体"/>
          <w:color w:val="auto"/>
          <w:sz w:val="28"/>
          <w:szCs w:val="28"/>
          <w:highlight w:val="none"/>
        </w:rPr>
        <w:t>电源与供电</w:t>
      </w:r>
      <w:bookmarkEnd w:id="366"/>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镇江新区紧临华东最大的火力发电厂谏壁电厂（装机容量</w:t>
      </w:r>
      <w:r>
        <w:rPr>
          <w:rFonts w:ascii="宋体" w:hAnsi="宋体" w:cs="宋体"/>
          <w:color w:val="auto"/>
          <w:sz w:val="28"/>
          <w:szCs w:val="28"/>
          <w:highlight w:val="none"/>
        </w:rPr>
        <w:t>222.5</w:t>
      </w:r>
      <w:r>
        <w:rPr>
          <w:rFonts w:hint="eastAsia" w:ascii="宋体" w:hAnsi="宋体" w:cs="宋体"/>
          <w:color w:val="auto"/>
          <w:sz w:val="28"/>
          <w:szCs w:val="28"/>
          <w:highlight w:val="none"/>
        </w:rPr>
        <w:t>万千瓦），区内建有</w:t>
      </w:r>
      <w:r>
        <w:rPr>
          <w:rFonts w:ascii="宋体" w:hAnsi="宋体" w:cs="宋体"/>
          <w:color w:val="auto"/>
          <w:sz w:val="28"/>
          <w:szCs w:val="28"/>
          <w:highlight w:val="none"/>
        </w:rPr>
        <w:t>220kV</w:t>
      </w:r>
      <w:r>
        <w:rPr>
          <w:rFonts w:hint="eastAsia" w:ascii="宋体" w:hAnsi="宋体" w:cs="宋体"/>
          <w:color w:val="auto"/>
          <w:sz w:val="28"/>
          <w:szCs w:val="28"/>
          <w:highlight w:val="none"/>
        </w:rPr>
        <w:t>变电站两座，</w:t>
      </w:r>
      <w:r>
        <w:rPr>
          <w:rFonts w:ascii="宋体" w:hAnsi="宋体" w:cs="宋体"/>
          <w:color w:val="auto"/>
          <w:sz w:val="28"/>
          <w:szCs w:val="28"/>
          <w:highlight w:val="none"/>
        </w:rPr>
        <w:t>110kV</w:t>
      </w:r>
      <w:r>
        <w:rPr>
          <w:rFonts w:hint="eastAsia" w:ascii="宋体" w:hAnsi="宋体" w:cs="宋体"/>
          <w:color w:val="auto"/>
          <w:sz w:val="28"/>
          <w:szCs w:val="28"/>
          <w:highlight w:val="none"/>
        </w:rPr>
        <w:t>变电站四座；</w:t>
      </w:r>
      <w:r>
        <w:rPr>
          <w:rFonts w:ascii="宋体" w:hAnsi="宋体" w:cs="宋体"/>
          <w:color w:val="auto"/>
          <w:sz w:val="28"/>
          <w:szCs w:val="28"/>
          <w:highlight w:val="none"/>
        </w:rPr>
        <w:t>3</w:t>
      </w:r>
      <w:r>
        <w:rPr>
          <w:rFonts w:hint="eastAsia" w:ascii="宋体" w:hAnsi="宋体" w:cs="宋体"/>
          <w:color w:val="auto"/>
          <w:sz w:val="28"/>
          <w:szCs w:val="28"/>
          <w:highlight w:val="none"/>
        </w:rPr>
        <w:t>×</w:t>
      </w:r>
      <w:r>
        <w:rPr>
          <w:rFonts w:ascii="宋体" w:hAnsi="宋体" w:cs="宋体"/>
          <w:color w:val="auto"/>
          <w:sz w:val="28"/>
          <w:szCs w:val="28"/>
          <w:highlight w:val="none"/>
        </w:rPr>
        <w:t>6000kV</w:t>
      </w:r>
      <w:r>
        <w:rPr>
          <w:rFonts w:hint="eastAsia" w:ascii="宋体" w:hAnsi="宋体" w:cs="宋体"/>
          <w:color w:val="auto"/>
          <w:sz w:val="28"/>
          <w:szCs w:val="28"/>
          <w:highlight w:val="none"/>
        </w:rPr>
        <w:t>和</w:t>
      </w:r>
      <w:r>
        <w:rPr>
          <w:rFonts w:ascii="宋体" w:hAnsi="宋体" w:cs="宋体"/>
          <w:color w:val="auto"/>
          <w:sz w:val="28"/>
          <w:szCs w:val="28"/>
          <w:highlight w:val="none"/>
        </w:rPr>
        <w:t>2</w:t>
      </w:r>
      <w:r>
        <w:rPr>
          <w:rFonts w:hint="eastAsia" w:ascii="宋体" w:hAnsi="宋体" w:cs="宋体"/>
          <w:color w:val="auto"/>
          <w:sz w:val="28"/>
          <w:szCs w:val="28"/>
          <w:highlight w:val="none"/>
        </w:rPr>
        <w:t>×</w:t>
      </w:r>
      <w:r>
        <w:rPr>
          <w:rFonts w:ascii="宋体" w:hAnsi="宋体" w:cs="宋体"/>
          <w:color w:val="auto"/>
          <w:sz w:val="28"/>
          <w:szCs w:val="28"/>
          <w:highlight w:val="none"/>
        </w:rPr>
        <w:t>6000kV</w:t>
      </w:r>
      <w:r>
        <w:rPr>
          <w:rFonts w:hint="eastAsia" w:ascii="宋体" w:hAnsi="宋体" w:cs="宋体"/>
          <w:color w:val="auto"/>
          <w:sz w:val="28"/>
          <w:szCs w:val="28"/>
          <w:highlight w:val="none"/>
        </w:rPr>
        <w:t>热电厂各一座。镇江新区可以满足本项目的用电要求。</w:t>
      </w:r>
    </w:p>
    <w:p>
      <w:pPr>
        <w:pStyle w:val="41"/>
        <w:spacing w:line="560" w:lineRule="exact"/>
        <w:ind w:firstLine="31680"/>
        <w:rPr>
          <w:rFonts w:ascii="宋体" w:cs="宋体"/>
          <w:color w:val="auto"/>
          <w:sz w:val="28"/>
          <w:szCs w:val="28"/>
          <w:highlight w:val="none"/>
        </w:rPr>
      </w:pPr>
      <w:bookmarkStart w:id="367" w:name="_Toc3223"/>
      <w:r>
        <w:rPr>
          <w:rFonts w:ascii="宋体" w:hAnsi="宋体" w:cs="宋体"/>
          <w:color w:val="auto"/>
          <w:sz w:val="28"/>
          <w:szCs w:val="28"/>
          <w:highlight w:val="none"/>
        </w:rPr>
        <w:t>6.1.4.3</w:t>
      </w:r>
      <w:bookmarkEnd w:id="367"/>
      <w:bookmarkStart w:id="368" w:name="_Toc6962"/>
      <w:r>
        <w:rPr>
          <w:rFonts w:hint="eastAsia" w:ascii="宋体" w:hAnsi="宋体" w:cs="宋体"/>
          <w:color w:val="auto"/>
          <w:sz w:val="28"/>
          <w:szCs w:val="28"/>
          <w:highlight w:val="none"/>
        </w:rPr>
        <w:t>通讯</w:t>
      </w:r>
      <w:bookmarkEnd w:id="368"/>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由于本项目需要设置电话和网络的建筑物不多，扩建厂区内所需的电话均由原厂主设备引来。</w:t>
      </w:r>
    </w:p>
    <w:p>
      <w:pPr>
        <w:pStyle w:val="41"/>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6.1.4.4</w:t>
      </w:r>
      <w:r>
        <w:rPr>
          <w:rFonts w:hint="eastAsia" w:ascii="宋体" w:hAnsi="宋体" w:cs="宋体"/>
          <w:color w:val="auto"/>
          <w:sz w:val="28"/>
          <w:szCs w:val="28"/>
          <w:highlight w:val="none"/>
        </w:rPr>
        <w:t>消防</w:t>
      </w:r>
    </w:p>
    <w:p>
      <w:pPr>
        <w:pStyle w:val="41"/>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新材料产业园设有</w:t>
      </w:r>
      <w:r>
        <w:rPr>
          <w:rFonts w:hint="eastAsia" w:ascii="宋体" w:hAnsi="宋体" w:cs="宋体"/>
          <w:color w:val="auto"/>
          <w:sz w:val="28"/>
          <w:szCs w:val="28"/>
          <w:highlight w:val="none"/>
        </w:rPr>
        <w:t>江苏索普新材料消防队、</w:t>
      </w:r>
      <w:r>
        <w:rPr>
          <w:rFonts w:hint="eastAsia" w:ascii="宋体" w:hAnsi="宋体" w:cs="宋体"/>
          <w:color w:val="auto"/>
          <w:sz w:val="28"/>
          <w:szCs w:val="28"/>
          <w:highlight w:val="none"/>
          <w:lang w:val="zh-CN"/>
        </w:rPr>
        <w:t>大港消防救援站和圃山消防救援站</w:t>
      </w:r>
      <w:r>
        <w:rPr>
          <w:rFonts w:ascii="宋体" w:hAnsi="宋体" w:cs="宋体"/>
          <w:color w:val="auto"/>
          <w:sz w:val="28"/>
          <w:szCs w:val="28"/>
          <w:highlight w:val="none"/>
        </w:rPr>
        <w:t>3</w:t>
      </w:r>
      <w:r>
        <w:rPr>
          <w:rFonts w:hint="eastAsia" w:ascii="宋体" w:hAnsi="宋体" w:cs="宋体"/>
          <w:color w:val="auto"/>
          <w:sz w:val="28"/>
          <w:szCs w:val="28"/>
          <w:highlight w:val="none"/>
          <w:lang w:val="zh-CN"/>
        </w:rPr>
        <w:t>个站点。其中</w:t>
      </w:r>
      <w:r>
        <w:rPr>
          <w:rFonts w:ascii="宋体" w:hAnsi="宋体" w:cs="宋体"/>
          <w:color w:val="auto"/>
          <w:sz w:val="28"/>
          <w:szCs w:val="28"/>
          <w:highlight w:val="none"/>
          <w:lang w:val="zh-CN"/>
        </w:rPr>
        <w:t>,</w:t>
      </w:r>
      <w:r>
        <w:rPr>
          <w:rFonts w:hint="eastAsia" w:ascii="宋体" w:hAnsi="宋体" w:cs="宋体"/>
          <w:color w:val="auto"/>
          <w:sz w:val="28"/>
          <w:szCs w:val="28"/>
          <w:highlight w:val="none"/>
        </w:rPr>
        <w:t>江苏索普新材料消防队始建</w:t>
      </w:r>
      <w:r>
        <w:rPr>
          <w:rFonts w:ascii="宋体" w:hAnsi="宋体" w:cs="宋体"/>
          <w:color w:val="auto"/>
          <w:sz w:val="28"/>
          <w:szCs w:val="28"/>
          <w:highlight w:val="none"/>
        </w:rPr>
        <w:t>2022</w:t>
      </w:r>
      <w:r>
        <w:rPr>
          <w:rFonts w:hint="eastAsia" w:ascii="宋体" w:hAnsi="宋体" w:cs="宋体"/>
          <w:color w:val="auto"/>
          <w:sz w:val="28"/>
          <w:szCs w:val="28"/>
          <w:highlight w:val="none"/>
        </w:rPr>
        <w:t>年</w:t>
      </w:r>
      <w:r>
        <w:rPr>
          <w:rFonts w:ascii="宋体" w:hAnsi="宋体" w:cs="宋体"/>
          <w:color w:val="auto"/>
          <w:sz w:val="28"/>
          <w:szCs w:val="28"/>
          <w:highlight w:val="none"/>
        </w:rPr>
        <w:t>9</w:t>
      </w:r>
      <w:r>
        <w:rPr>
          <w:rFonts w:hint="eastAsia" w:ascii="宋体" w:hAnsi="宋体" w:cs="宋体"/>
          <w:color w:val="auto"/>
          <w:sz w:val="28"/>
          <w:szCs w:val="28"/>
          <w:highlight w:val="none"/>
        </w:rPr>
        <w:t>月，目前消防队有专职消防队员</w:t>
      </w:r>
      <w:r>
        <w:rPr>
          <w:rFonts w:ascii="宋体" w:hAnsi="宋体" w:cs="宋体"/>
          <w:color w:val="auto"/>
          <w:sz w:val="28"/>
          <w:szCs w:val="28"/>
          <w:highlight w:val="none"/>
        </w:rPr>
        <w:t>13</w:t>
      </w:r>
      <w:r>
        <w:rPr>
          <w:rFonts w:hint="eastAsia" w:ascii="宋体" w:hAnsi="宋体" w:cs="宋体"/>
          <w:color w:val="auto"/>
          <w:sz w:val="28"/>
          <w:szCs w:val="28"/>
          <w:highlight w:val="none"/>
        </w:rPr>
        <w:t>人；配备</w:t>
      </w:r>
      <w:r>
        <w:rPr>
          <w:rFonts w:ascii="宋体" w:hAnsi="宋体" w:cs="宋体"/>
          <w:color w:val="auto"/>
          <w:sz w:val="28"/>
          <w:szCs w:val="28"/>
          <w:highlight w:val="none"/>
        </w:rPr>
        <w:t>1</w:t>
      </w:r>
      <w:r>
        <w:rPr>
          <w:rFonts w:hint="eastAsia" w:ascii="宋体" w:hAnsi="宋体" w:cs="宋体"/>
          <w:color w:val="auto"/>
          <w:sz w:val="28"/>
          <w:szCs w:val="28"/>
          <w:highlight w:val="none"/>
        </w:rPr>
        <w:t>台</w:t>
      </w:r>
      <w:r>
        <w:rPr>
          <w:rFonts w:ascii="宋体" w:hAnsi="宋体" w:cs="宋体"/>
          <w:color w:val="auto"/>
          <w:sz w:val="28"/>
          <w:szCs w:val="28"/>
          <w:highlight w:val="none"/>
        </w:rPr>
        <w:t>8</w:t>
      </w:r>
      <w:r>
        <w:rPr>
          <w:rFonts w:hint="eastAsia" w:ascii="宋体" w:hAnsi="宋体" w:cs="宋体"/>
          <w:color w:val="auto"/>
          <w:sz w:val="28"/>
          <w:szCs w:val="28"/>
          <w:highlight w:val="none"/>
        </w:rPr>
        <w:t>吨泡沫水罐消防车、</w:t>
      </w:r>
      <w:r>
        <w:rPr>
          <w:rFonts w:ascii="宋体" w:hAnsi="宋体" w:cs="宋体"/>
          <w:color w:val="auto"/>
          <w:sz w:val="28"/>
          <w:szCs w:val="28"/>
          <w:highlight w:val="none"/>
        </w:rPr>
        <w:t>1</w:t>
      </w:r>
      <w:r>
        <w:rPr>
          <w:rFonts w:hint="eastAsia" w:ascii="宋体" w:hAnsi="宋体" w:cs="宋体"/>
          <w:color w:val="auto"/>
          <w:sz w:val="28"/>
          <w:szCs w:val="28"/>
          <w:highlight w:val="none"/>
        </w:rPr>
        <w:t>台气体防护车。</w:t>
      </w:r>
      <w:r>
        <w:rPr>
          <w:rFonts w:hint="eastAsia" w:ascii="宋体" w:hAnsi="宋体" w:cs="宋体"/>
          <w:color w:val="auto"/>
          <w:sz w:val="28"/>
          <w:szCs w:val="28"/>
          <w:highlight w:val="none"/>
          <w:lang w:val="zh-CN"/>
        </w:rPr>
        <w:t>大港消防救援站位于新材料产业园东侧</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现有消防指战员</w:t>
      </w:r>
      <w:r>
        <w:rPr>
          <w:rFonts w:ascii="宋体" w:hAnsi="宋体" w:cs="宋体"/>
          <w:color w:val="auto"/>
          <w:sz w:val="28"/>
          <w:szCs w:val="28"/>
          <w:highlight w:val="none"/>
          <w:lang w:val="zh-CN"/>
        </w:rPr>
        <w:t>23</w:t>
      </w:r>
      <w:r>
        <w:rPr>
          <w:rFonts w:hint="eastAsia" w:ascii="宋体" w:hAnsi="宋体" w:cs="宋体"/>
          <w:color w:val="auto"/>
          <w:sz w:val="28"/>
          <w:szCs w:val="28"/>
          <w:highlight w:val="none"/>
          <w:lang w:val="zh-CN"/>
        </w:rPr>
        <w:t>人</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其中干部</w:t>
      </w:r>
      <w:r>
        <w:rPr>
          <w:rFonts w:ascii="宋体" w:hAnsi="宋体" w:cs="宋体"/>
          <w:color w:val="auto"/>
          <w:sz w:val="28"/>
          <w:szCs w:val="28"/>
          <w:highlight w:val="none"/>
          <w:lang w:val="zh-CN"/>
        </w:rPr>
        <w:t xml:space="preserve"> 5</w:t>
      </w:r>
      <w:r>
        <w:rPr>
          <w:rFonts w:hint="eastAsia" w:ascii="宋体" w:hAnsi="宋体" w:cs="宋体"/>
          <w:color w:val="auto"/>
          <w:sz w:val="28"/>
          <w:szCs w:val="28"/>
          <w:highlight w:val="none"/>
          <w:lang w:val="zh-CN"/>
        </w:rPr>
        <w:t>人</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消防员</w:t>
      </w:r>
      <w:r>
        <w:rPr>
          <w:rFonts w:ascii="宋体" w:hAnsi="宋体" w:cs="宋体"/>
          <w:color w:val="auto"/>
          <w:sz w:val="28"/>
          <w:szCs w:val="28"/>
          <w:highlight w:val="none"/>
          <w:lang w:val="zh-CN"/>
        </w:rPr>
        <w:t xml:space="preserve"> 18</w:t>
      </w:r>
      <w:r>
        <w:rPr>
          <w:rFonts w:hint="eastAsia" w:ascii="宋体" w:hAnsi="宋体" w:cs="宋体"/>
          <w:color w:val="auto"/>
          <w:sz w:val="28"/>
          <w:szCs w:val="28"/>
          <w:highlight w:val="none"/>
          <w:lang w:val="zh-CN"/>
        </w:rPr>
        <w:t>人</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配有消防车</w:t>
      </w:r>
      <w:r>
        <w:rPr>
          <w:rFonts w:ascii="宋体" w:hAnsi="宋体" w:cs="宋体"/>
          <w:color w:val="auto"/>
          <w:sz w:val="28"/>
          <w:szCs w:val="28"/>
          <w:highlight w:val="none"/>
          <w:lang w:val="zh-CN"/>
        </w:rPr>
        <w:t xml:space="preserve"> 10</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其中泡沫水罐车</w:t>
      </w:r>
      <w:r>
        <w:rPr>
          <w:rFonts w:ascii="宋体" w:hAnsi="宋体" w:cs="宋体"/>
          <w:color w:val="auto"/>
          <w:sz w:val="28"/>
          <w:szCs w:val="28"/>
          <w:highlight w:val="none"/>
          <w:lang w:val="zh-CN"/>
        </w:rPr>
        <w:t xml:space="preserve"> 3</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车载灭火剂水</w:t>
      </w:r>
      <w:r>
        <w:rPr>
          <w:rFonts w:ascii="宋体" w:hAnsi="宋体" w:cs="宋体"/>
          <w:color w:val="auto"/>
          <w:sz w:val="28"/>
          <w:szCs w:val="28"/>
          <w:highlight w:val="none"/>
          <w:lang w:val="zh-CN"/>
        </w:rPr>
        <w:t xml:space="preserve"> 33</w:t>
      </w:r>
      <w:r>
        <w:rPr>
          <w:rFonts w:hint="eastAsia" w:ascii="宋体" w:hAnsi="宋体" w:cs="宋体"/>
          <w:color w:val="auto"/>
          <w:sz w:val="28"/>
          <w:szCs w:val="28"/>
          <w:highlight w:val="none"/>
          <w:lang w:val="zh-CN"/>
        </w:rPr>
        <w:t>吨</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w:t>
      </w:r>
      <w:r>
        <w:rPr>
          <w:rFonts w:ascii="宋体" w:hAnsi="宋体" w:cs="宋体"/>
          <w:color w:val="auto"/>
          <w:sz w:val="28"/>
          <w:szCs w:val="28"/>
          <w:highlight w:val="none"/>
          <w:lang w:val="zh-CN"/>
        </w:rPr>
        <w:t>B</w:t>
      </w:r>
      <w:r>
        <w:rPr>
          <w:rFonts w:hint="eastAsia" w:ascii="宋体" w:hAnsi="宋体" w:cs="宋体"/>
          <w:color w:val="auto"/>
          <w:sz w:val="28"/>
          <w:szCs w:val="28"/>
          <w:highlight w:val="none"/>
          <w:lang w:val="zh-CN"/>
        </w:rPr>
        <w:t>类泡沫</w:t>
      </w:r>
      <w:r>
        <w:rPr>
          <w:rFonts w:ascii="宋体" w:hAnsi="宋体" w:cs="宋体"/>
          <w:color w:val="auto"/>
          <w:sz w:val="28"/>
          <w:szCs w:val="28"/>
          <w:highlight w:val="none"/>
          <w:lang w:val="zh-CN"/>
        </w:rPr>
        <w:t xml:space="preserve"> 8</w:t>
      </w:r>
      <w:r>
        <w:rPr>
          <w:rFonts w:hint="eastAsia" w:ascii="宋体" w:hAnsi="宋体" w:cs="宋体"/>
          <w:color w:val="auto"/>
          <w:sz w:val="28"/>
          <w:szCs w:val="28"/>
          <w:highlight w:val="none"/>
          <w:lang w:val="zh-CN"/>
        </w:rPr>
        <w:t>吨</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、抢险救援车</w:t>
      </w:r>
      <w:r>
        <w:rPr>
          <w:rFonts w:ascii="宋体" w:hAnsi="宋体" w:cs="宋体"/>
          <w:color w:val="auto"/>
          <w:sz w:val="28"/>
          <w:szCs w:val="28"/>
          <w:highlight w:val="none"/>
          <w:lang w:val="zh-CN"/>
        </w:rPr>
        <w:t xml:space="preserve"> 1</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、举高类消防车</w:t>
      </w:r>
      <w:r>
        <w:rPr>
          <w:rFonts w:ascii="宋体" w:hAnsi="宋体" w:cs="宋体"/>
          <w:color w:val="auto"/>
          <w:sz w:val="28"/>
          <w:szCs w:val="28"/>
          <w:highlight w:val="none"/>
          <w:lang w:val="zh-CN"/>
        </w:rPr>
        <w:t xml:space="preserve"> 3</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、远程供水车</w:t>
      </w:r>
      <w:r>
        <w:rPr>
          <w:rFonts w:ascii="宋体" w:hAnsi="宋体" w:cs="宋体"/>
          <w:color w:val="auto"/>
          <w:sz w:val="28"/>
          <w:szCs w:val="28"/>
          <w:highlight w:val="none"/>
          <w:lang w:val="zh-CN"/>
        </w:rPr>
        <w:t xml:space="preserve"> 1</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、化学洗消车</w:t>
      </w:r>
      <w:r>
        <w:rPr>
          <w:rFonts w:ascii="宋体" w:hAnsi="宋体" w:cs="宋体"/>
          <w:color w:val="auto"/>
          <w:sz w:val="28"/>
          <w:szCs w:val="28"/>
          <w:highlight w:val="none"/>
          <w:lang w:val="zh-CN"/>
        </w:rPr>
        <w:t>1</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、干粉车</w:t>
      </w:r>
      <w:r>
        <w:rPr>
          <w:rFonts w:ascii="宋体" w:hAnsi="宋体" w:cs="宋体"/>
          <w:color w:val="auto"/>
          <w:sz w:val="28"/>
          <w:szCs w:val="28"/>
          <w:highlight w:val="none"/>
          <w:lang w:val="zh-CN"/>
        </w:rPr>
        <w:t xml:space="preserve"> 1</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。圃山消防救援站位于新材料产业园东北侧</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现有消防指战员</w:t>
      </w:r>
      <w:r>
        <w:rPr>
          <w:rFonts w:ascii="宋体" w:hAnsi="宋体" w:cs="宋体"/>
          <w:color w:val="auto"/>
          <w:sz w:val="28"/>
          <w:szCs w:val="28"/>
          <w:highlight w:val="none"/>
          <w:lang w:val="zh-CN"/>
        </w:rPr>
        <w:t xml:space="preserve"> 13</w:t>
      </w:r>
      <w:r>
        <w:rPr>
          <w:rFonts w:hint="eastAsia" w:ascii="宋体" w:hAnsi="宋体" w:cs="宋体"/>
          <w:color w:val="auto"/>
          <w:sz w:val="28"/>
          <w:szCs w:val="28"/>
          <w:highlight w:val="none"/>
          <w:lang w:val="zh-CN"/>
        </w:rPr>
        <w:t>人</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其中干部</w:t>
      </w:r>
      <w:r>
        <w:rPr>
          <w:rFonts w:ascii="宋体" w:hAnsi="宋体" w:cs="宋体"/>
          <w:color w:val="auto"/>
          <w:sz w:val="28"/>
          <w:szCs w:val="28"/>
          <w:highlight w:val="none"/>
          <w:lang w:val="zh-CN"/>
        </w:rPr>
        <w:t xml:space="preserve"> 2</w:t>
      </w:r>
      <w:r>
        <w:rPr>
          <w:rFonts w:hint="eastAsia" w:ascii="宋体" w:hAnsi="宋体" w:cs="宋体"/>
          <w:color w:val="auto"/>
          <w:sz w:val="28"/>
          <w:szCs w:val="28"/>
          <w:highlight w:val="none"/>
          <w:lang w:val="zh-CN"/>
        </w:rPr>
        <w:t>人</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消防员</w:t>
      </w:r>
      <w:r>
        <w:rPr>
          <w:rFonts w:ascii="宋体" w:hAnsi="宋体" w:cs="宋体"/>
          <w:color w:val="auto"/>
          <w:sz w:val="28"/>
          <w:szCs w:val="28"/>
          <w:highlight w:val="none"/>
          <w:lang w:val="zh-CN"/>
        </w:rPr>
        <w:t xml:space="preserve"> 11</w:t>
      </w:r>
      <w:r>
        <w:rPr>
          <w:rFonts w:hint="eastAsia" w:ascii="宋体" w:hAnsi="宋体" w:cs="宋体"/>
          <w:color w:val="auto"/>
          <w:sz w:val="28"/>
          <w:szCs w:val="28"/>
          <w:highlight w:val="none"/>
          <w:lang w:val="zh-CN"/>
        </w:rPr>
        <w:t>人</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配有消防车</w:t>
      </w:r>
      <w:r>
        <w:rPr>
          <w:rFonts w:ascii="宋体" w:hAnsi="宋体" w:cs="宋体"/>
          <w:color w:val="auto"/>
          <w:sz w:val="28"/>
          <w:szCs w:val="28"/>
          <w:highlight w:val="none"/>
          <w:lang w:val="zh-CN"/>
        </w:rPr>
        <w:t xml:space="preserve"> 2</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泡沫水罐车</w:t>
      </w:r>
      <w:r>
        <w:rPr>
          <w:rFonts w:ascii="宋体" w:hAnsi="宋体" w:cs="宋体"/>
          <w:color w:val="auto"/>
          <w:sz w:val="28"/>
          <w:szCs w:val="28"/>
          <w:highlight w:val="none"/>
          <w:lang w:val="zh-CN"/>
        </w:rPr>
        <w:t>2</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车载灭火剂水</w:t>
      </w:r>
      <w:r>
        <w:rPr>
          <w:rFonts w:ascii="宋体" w:hAnsi="宋体" w:cs="宋体"/>
          <w:color w:val="auto"/>
          <w:sz w:val="28"/>
          <w:szCs w:val="28"/>
          <w:highlight w:val="none"/>
          <w:lang w:val="zh-CN"/>
        </w:rPr>
        <w:t xml:space="preserve"> 9</w:t>
      </w:r>
      <w:r>
        <w:rPr>
          <w:rFonts w:hint="eastAsia" w:ascii="宋体" w:hAnsi="宋体" w:cs="宋体"/>
          <w:color w:val="auto"/>
          <w:sz w:val="28"/>
          <w:szCs w:val="28"/>
          <w:highlight w:val="none"/>
          <w:lang w:val="zh-CN"/>
        </w:rPr>
        <w:t>吨</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w:t>
      </w:r>
      <w:r>
        <w:rPr>
          <w:rFonts w:ascii="宋体" w:hAnsi="宋体" w:cs="宋体"/>
          <w:color w:val="auto"/>
          <w:sz w:val="28"/>
          <w:szCs w:val="28"/>
          <w:highlight w:val="none"/>
          <w:lang w:val="zh-CN"/>
        </w:rPr>
        <w:t xml:space="preserve"> B</w:t>
      </w:r>
      <w:r>
        <w:rPr>
          <w:rFonts w:hint="eastAsia" w:ascii="宋体" w:hAnsi="宋体" w:cs="宋体"/>
          <w:color w:val="auto"/>
          <w:sz w:val="28"/>
          <w:szCs w:val="28"/>
          <w:highlight w:val="none"/>
          <w:lang w:val="zh-CN"/>
        </w:rPr>
        <w:t>类泡沫</w:t>
      </w:r>
      <w:r>
        <w:rPr>
          <w:rFonts w:ascii="宋体" w:hAnsi="宋体" w:cs="宋体"/>
          <w:color w:val="auto"/>
          <w:sz w:val="28"/>
          <w:szCs w:val="28"/>
          <w:highlight w:val="none"/>
          <w:lang w:val="zh-CN"/>
        </w:rPr>
        <w:t>2</w:t>
      </w:r>
      <w:r>
        <w:rPr>
          <w:rFonts w:hint="eastAsia" w:ascii="宋体" w:hAnsi="宋体" w:cs="宋体"/>
          <w:color w:val="auto"/>
          <w:sz w:val="28"/>
          <w:szCs w:val="28"/>
          <w:highlight w:val="none"/>
          <w:lang w:val="zh-CN"/>
        </w:rPr>
        <w:t>吨</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。两个消防救援站按要求配各装各器材共三大类</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灭火器材、防护装各、抢险救援器材</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十二小类</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基本防护装各、特种防护装各、射水器材、输水器材、侦检器材、救生器材、警戒器材、破拆器材、输转器材、洗消器材、排烟照明器材、其他器材×见附件</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lang w:val="zh-CN"/>
        </w:rPr>
        <w:t>此外</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园区周边还设有平昌、丁卯、谏壁</w:t>
      </w:r>
      <w:r>
        <w:rPr>
          <w:rFonts w:ascii="宋体" w:hAnsi="宋体" w:cs="宋体"/>
          <w:color w:val="auto"/>
          <w:sz w:val="28"/>
          <w:szCs w:val="28"/>
          <w:highlight w:val="none"/>
          <w:lang w:val="zh-CN"/>
        </w:rPr>
        <w:t xml:space="preserve"> 3</w:t>
      </w:r>
      <w:r>
        <w:rPr>
          <w:rFonts w:hint="eastAsia" w:ascii="宋体" w:hAnsi="宋体" w:cs="宋体"/>
          <w:color w:val="auto"/>
          <w:sz w:val="28"/>
          <w:szCs w:val="28"/>
          <w:highlight w:val="none"/>
          <w:lang w:val="zh-CN"/>
        </w:rPr>
        <w:t>个消防救援站。另外</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园</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区内镇江奇美化工有限公司还设有企业专职消防队</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现有人员</w:t>
      </w:r>
      <w:r>
        <w:rPr>
          <w:rFonts w:ascii="宋体" w:hAnsi="宋体" w:cs="宋体"/>
          <w:color w:val="auto"/>
          <w:sz w:val="28"/>
          <w:szCs w:val="28"/>
          <w:highlight w:val="none"/>
          <w:lang w:val="zh-CN"/>
        </w:rPr>
        <w:t xml:space="preserve"> 11</w:t>
      </w:r>
      <w:r>
        <w:rPr>
          <w:rFonts w:hint="eastAsia" w:ascii="宋体" w:hAnsi="宋体" w:cs="宋体"/>
          <w:color w:val="auto"/>
          <w:sz w:val="28"/>
          <w:szCs w:val="28"/>
          <w:highlight w:val="none"/>
          <w:lang w:val="zh-CN"/>
        </w:rPr>
        <w:t>人</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其中干部</w:t>
      </w:r>
      <w:r>
        <w:rPr>
          <w:rFonts w:ascii="宋体" w:hAnsi="宋体" w:cs="宋体"/>
          <w:color w:val="auto"/>
          <w:sz w:val="28"/>
          <w:szCs w:val="28"/>
          <w:highlight w:val="none"/>
          <w:lang w:val="zh-CN"/>
        </w:rPr>
        <w:t xml:space="preserve"> 3</w:t>
      </w:r>
      <w:r>
        <w:rPr>
          <w:rFonts w:hint="eastAsia" w:ascii="宋体" w:hAnsi="宋体" w:cs="宋体"/>
          <w:color w:val="auto"/>
          <w:sz w:val="28"/>
          <w:szCs w:val="28"/>
          <w:highlight w:val="none"/>
          <w:lang w:val="zh-CN"/>
        </w:rPr>
        <w:t>人</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消防员</w:t>
      </w:r>
      <w:r>
        <w:rPr>
          <w:rFonts w:ascii="宋体" w:hAnsi="宋体" w:cs="宋体"/>
          <w:color w:val="auto"/>
          <w:sz w:val="28"/>
          <w:szCs w:val="28"/>
          <w:highlight w:val="none"/>
          <w:lang w:val="zh-CN"/>
        </w:rPr>
        <w:t xml:space="preserve"> 8</w:t>
      </w:r>
      <w:r>
        <w:rPr>
          <w:rFonts w:hint="eastAsia" w:ascii="宋体" w:hAnsi="宋体" w:cs="宋体"/>
          <w:color w:val="auto"/>
          <w:sz w:val="28"/>
          <w:szCs w:val="28"/>
          <w:highlight w:val="none"/>
          <w:lang w:val="zh-CN"/>
        </w:rPr>
        <w:t>人</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配有消防车</w:t>
      </w:r>
      <w:r>
        <w:rPr>
          <w:rFonts w:ascii="宋体" w:hAnsi="宋体" w:cs="宋体"/>
          <w:color w:val="auto"/>
          <w:sz w:val="28"/>
          <w:szCs w:val="28"/>
          <w:highlight w:val="none"/>
          <w:lang w:val="zh-CN"/>
        </w:rPr>
        <w:t>3</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其中泡沫水罐车</w:t>
      </w:r>
      <w:r>
        <w:rPr>
          <w:rFonts w:ascii="宋体" w:hAnsi="宋体" w:cs="宋体"/>
          <w:color w:val="auto"/>
          <w:sz w:val="28"/>
          <w:szCs w:val="28"/>
          <w:highlight w:val="none"/>
          <w:lang w:val="zh-CN"/>
        </w:rPr>
        <w:t>2</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车载灭火剂水</w:t>
      </w:r>
      <w:r>
        <w:rPr>
          <w:rFonts w:ascii="宋体" w:hAnsi="宋体" w:cs="宋体"/>
          <w:color w:val="auto"/>
          <w:sz w:val="28"/>
          <w:szCs w:val="28"/>
          <w:highlight w:val="none"/>
          <w:lang w:val="zh-CN"/>
        </w:rPr>
        <w:t xml:space="preserve"> 12</w:t>
      </w:r>
      <w:r>
        <w:rPr>
          <w:rFonts w:hint="eastAsia" w:ascii="宋体" w:hAnsi="宋体" w:cs="宋体"/>
          <w:color w:val="auto"/>
          <w:sz w:val="28"/>
          <w:szCs w:val="28"/>
          <w:highlight w:val="none"/>
          <w:lang w:val="zh-CN"/>
        </w:rPr>
        <w:t>吨</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w:t>
      </w:r>
      <w:r>
        <w:rPr>
          <w:rFonts w:ascii="宋体" w:hAnsi="宋体" w:cs="宋体"/>
          <w:color w:val="auto"/>
          <w:sz w:val="28"/>
          <w:szCs w:val="28"/>
          <w:highlight w:val="none"/>
          <w:lang w:val="zh-CN"/>
        </w:rPr>
        <w:t>B</w:t>
      </w:r>
      <w:r>
        <w:rPr>
          <w:rFonts w:hint="eastAsia" w:ascii="宋体" w:hAnsi="宋体" w:cs="宋体"/>
          <w:color w:val="auto"/>
          <w:sz w:val="28"/>
          <w:szCs w:val="28"/>
          <w:highlight w:val="none"/>
          <w:lang w:val="zh-CN"/>
        </w:rPr>
        <w:t>类泡沫</w:t>
      </w:r>
      <w:r>
        <w:rPr>
          <w:rFonts w:ascii="宋体" w:hAnsi="宋体" w:cs="宋体"/>
          <w:color w:val="auto"/>
          <w:sz w:val="28"/>
          <w:szCs w:val="28"/>
          <w:highlight w:val="none"/>
          <w:lang w:val="zh-CN"/>
        </w:rPr>
        <w:t xml:space="preserve"> 2</w:t>
      </w:r>
      <w:r>
        <w:rPr>
          <w:rFonts w:hint="eastAsia" w:ascii="宋体" w:hAnsi="宋体" w:cs="宋体"/>
          <w:color w:val="auto"/>
          <w:sz w:val="28"/>
          <w:szCs w:val="28"/>
          <w:highlight w:val="none"/>
          <w:lang w:val="zh-CN"/>
        </w:rPr>
        <w:t>吨</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器材供给车</w:t>
      </w:r>
      <w:r>
        <w:rPr>
          <w:rFonts w:ascii="宋体" w:hAnsi="宋体" w:cs="宋体"/>
          <w:color w:val="auto"/>
          <w:sz w:val="28"/>
          <w:szCs w:val="28"/>
          <w:highlight w:val="none"/>
          <w:lang w:val="zh-CN"/>
        </w:rPr>
        <w:t>1</w:t>
      </w:r>
      <w:r>
        <w:rPr>
          <w:rFonts w:hint="eastAsia" w:ascii="宋体" w:hAnsi="宋体" w:cs="宋体"/>
          <w:color w:val="auto"/>
          <w:sz w:val="28"/>
          <w:szCs w:val="28"/>
          <w:highlight w:val="none"/>
          <w:lang w:val="zh-CN"/>
        </w:rPr>
        <w:t>辆</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。园区内其他化工企业均按要求设置微型消防站。</w:t>
      </w:r>
    </w:p>
    <w:p>
      <w:pPr>
        <w:pStyle w:val="41"/>
        <w:spacing w:line="560" w:lineRule="exact"/>
        <w:ind w:firstLine="31680"/>
        <w:rPr>
          <w:rFonts w:ascii="宋体" w:cs="宋体"/>
          <w:color w:val="auto"/>
          <w:sz w:val="28"/>
          <w:szCs w:val="28"/>
          <w:highlight w:val="none"/>
        </w:rPr>
      </w:pPr>
      <w:bookmarkStart w:id="369" w:name="_Toc13115"/>
      <w:r>
        <w:rPr>
          <w:rFonts w:ascii="宋体" w:hAnsi="宋体" w:cs="宋体"/>
          <w:color w:val="auto"/>
          <w:sz w:val="28"/>
          <w:szCs w:val="28"/>
          <w:highlight w:val="none"/>
        </w:rPr>
        <w:t>6.1.5</w:t>
      </w:r>
      <w:r>
        <w:rPr>
          <w:rFonts w:hint="eastAsia" w:ascii="宋体" w:hAnsi="宋体" w:cs="宋体"/>
          <w:color w:val="auto"/>
          <w:sz w:val="28"/>
          <w:szCs w:val="28"/>
          <w:highlight w:val="none"/>
        </w:rPr>
        <w:t>用地条件</w:t>
      </w:r>
      <w:bookmarkEnd w:id="369"/>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本项目所在地为江苏索普新材料科技有限公司内，不涉及拆迁补偿等相关问题。</w:t>
      </w:r>
    </w:p>
    <w:p>
      <w:pPr>
        <w:pStyle w:val="41"/>
        <w:spacing w:line="560" w:lineRule="exact"/>
        <w:ind w:firstLine="31680"/>
        <w:rPr>
          <w:rFonts w:ascii="宋体" w:cs="宋体"/>
          <w:color w:val="auto"/>
          <w:sz w:val="28"/>
          <w:szCs w:val="28"/>
          <w:highlight w:val="none"/>
        </w:rPr>
      </w:pPr>
      <w:bookmarkStart w:id="370" w:name="_Toc9985"/>
      <w:r>
        <w:rPr>
          <w:rFonts w:ascii="宋体" w:hAnsi="宋体" w:cs="宋体"/>
          <w:color w:val="auto"/>
          <w:sz w:val="28"/>
          <w:szCs w:val="28"/>
          <w:highlight w:val="none"/>
        </w:rPr>
        <w:t>6.1.6</w:t>
      </w:r>
      <w:r>
        <w:rPr>
          <w:rFonts w:hint="eastAsia" w:ascii="宋体" w:hAnsi="宋体" w:cs="宋体"/>
          <w:color w:val="auto"/>
          <w:sz w:val="28"/>
          <w:szCs w:val="28"/>
          <w:highlight w:val="none"/>
        </w:rPr>
        <w:t>环境保护条件</w:t>
      </w:r>
      <w:bookmarkEnd w:id="370"/>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1</w:t>
      </w:r>
      <w:r>
        <w:rPr>
          <w:rFonts w:hint="eastAsia" w:ascii="宋体" w:hAnsi="宋体" w:cs="宋体"/>
          <w:color w:val="auto"/>
          <w:sz w:val="28"/>
          <w:szCs w:val="28"/>
          <w:highlight w:val="none"/>
        </w:rPr>
        <w:t>）环评制度</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江苏索普新材料科技有限公司建设项目环境影响评价制度实施较好。</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2</w:t>
      </w:r>
      <w:r>
        <w:rPr>
          <w:rFonts w:hint="eastAsia" w:ascii="宋体" w:hAnsi="宋体" w:cs="宋体"/>
          <w:color w:val="auto"/>
          <w:sz w:val="28"/>
          <w:szCs w:val="28"/>
          <w:highlight w:val="none"/>
        </w:rPr>
        <w:t>）“三同时”验收情况</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江苏索普新材料科技有限公司所有已投产项目均通过了环保竣工验收。</w:t>
      </w:r>
    </w:p>
    <w:p>
      <w:pPr>
        <w:pStyle w:val="41"/>
        <w:spacing w:line="560" w:lineRule="exact"/>
        <w:ind w:firstLine="31680"/>
        <w:outlineLvl w:val="1"/>
        <w:rPr>
          <w:rFonts w:ascii="宋体" w:cs="宋体"/>
          <w:color w:val="auto"/>
          <w:sz w:val="28"/>
          <w:szCs w:val="28"/>
          <w:highlight w:val="none"/>
        </w:rPr>
      </w:pPr>
      <w:bookmarkStart w:id="371" w:name="_Toc6725"/>
      <w:bookmarkStart w:id="372" w:name="_Toc14561"/>
      <w:bookmarkStart w:id="373" w:name="_Toc315"/>
      <w:bookmarkStart w:id="374" w:name="_Toc7300"/>
      <w:r>
        <w:rPr>
          <w:rFonts w:ascii="宋体" w:hAnsi="宋体" w:cs="宋体"/>
          <w:color w:val="auto"/>
          <w:sz w:val="28"/>
          <w:szCs w:val="28"/>
          <w:highlight w:val="none"/>
        </w:rPr>
        <w:t>6.2</w:t>
      </w:r>
      <w:r>
        <w:rPr>
          <w:rFonts w:hint="eastAsia" w:ascii="宋体" w:hAnsi="宋体" w:cs="宋体"/>
          <w:color w:val="auto"/>
          <w:sz w:val="28"/>
          <w:szCs w:val="28"/>
          <w:highlight w:val="none"/>
        </w:rPr>
        <w:t>项目方案</w:t>
      </w:r>
      <w:bookmarkEnd w:id="352"/>
      <w:bookmarkEnd w:id="353"/>
      <w:bookmarkEnd w:id="354"/>
      <w:bookmarkEnd w:id="355"/>
      <w:bookmarkEnd w:id="371"/>
      <w:bookmarkEnd w:id="372"/>
      <w:bookmarkEnd w:id="373"/>
      <w:bookmarkEnd w:id="374"/>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本项目位于镇江市新区新材料产业园区内，该项目厂址的选择符合镇江市的规划，符合国家产业布局政策和宏观规划战略，同时符合国家环保、抗震等法律法规的要求。</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本项目充分利用园区现有的丰富配套资源，有利于节省投资、降低成本、增强产品竞争力、提高经济效益。项目的建成，有利于园区内产业链条向上游延伸，提高园区产业整体附加值。因此厂址选择是正确的。</w:t>
      </w:r>
    </w:p>
    <w:p>
      <w:pPr>
        <w:pStyle w:val="41"/>
        <w:spacing w:line="560" w:lineRule="exact"/>
        <w:ind w:firstLine="31680"/>
        <w:rPr>
          <w:color w:val="auto"/>
          <w:highlight w:val="none"/>
        </w:rPr>
      </w:pPr>
    </w:p>
    <w:p>
      <w:pPr>
        <w:pStyle w:val="34"/>
        <w:rPr>
          <w:color w:val="auto"/>
          <w:highlight w:val="none"/>
        </w:rPr>
        <w:sectPr>
          <w:pgSz w:w="11906" w:h="16838"/>
          <w:pgMar w:top="1440" w:right="1800" w:bottom="1440" w:left="1800" w:header="851" w:footer="992" w:gutter="0"/>
          <w:cols w:space="425" w:num="1"/>
          <w:docGrid w:type="lines" w:linePitch="312" w:charSpace="0"/>
        </w:sectPr>
      </w:pPr>
    </w:p>
    <w:p>
      <w:pPr>
        <w:pStyle w:val="2"/>
        <w:spacing w:before="0" w:after="0" w:line="560" w:lineRule="exact"/>
        <w:jc w:val="center"/>
        <w:rPr>
          <w:rFonts w:ascii="宋体" w:cs="宋体"/>
          <w:color w:val="auto"/>
          <w:sz w:val="32"/>
          <w:szCs w:val="32"/>
          <w:highlight w:val="none"/>
          <w:lang w:val="zh-CN"/>
        </w:rPr>
      </w:pPr>
      <w:bookmarkStart w:id="375" w:name="_Toc12745"/>
      <w:bookmarkStart w:id="376" w:name="_Toc12184"/>
      <w:r>
        <w:rPr>
          <w:rFonts w:hint="eastAsia" w:ascii="宋体" w:hAnsi="宋体" w:cs="宋体"/>
          <w:color w:val="auto"/>
          <w:sz w:val="32"/>
          <w:szCs w:val="32"/>
          <w:highlight w:val="none"/>
          <w:lang w:val="zh-CN"/>
        </w:rPr>
        <w:t>第七章</w:t>
      </w:r>
      <w:r>
        <w:rPr>
          <w:rFonts w:ascii="宋体" w:hAnsi="宋体" w:cs="宋体"/>
          <w:color w:val="auto"/>
          <w:sz w:val="32"/>
          <w:szCs w:val="32"/>
          <w:highlight w:val="none"/>
          <w:lang w:val="zh-CN"/>
        </w:rPr>
        <w:t xml:space="preserve"> </w:t>
      </w:r>
      <w:r>
        <w:rPr>
          <w:rFonts w:hint="eastAsia" w:ascii="宋体" w:hAnsi="宋体" w:cs="宋体"/>
          <w:color w:val="auto"/>
          <w:sz w:val="32"/>
          <w:szCs w:val="32"/>
          <w:highlight w:val="none"/>
          <w:lang w:val="zh-CN"/>
        </w:rPr>
        <w:t>总图运输、储运、土建</w:t>
      </w:r>
      <w:bookmarkEnd w:id="375"/>
      <w:bookmarkEnd w:id="376"/>
    </w:p>
    <w:p>
      <w:pPr>
        <w:pStyle w:val="32"/>
        <w:numPr>
          <w:ilvl w:val="0"/>
          <w:numId w:val="4"/>
        </w:numPr>
        <w:spacing w:line="560" w:lineRule="exact"/>
        <w:ind w:firstLine="31680"/>
        <w:jc w:val="left"/>
        <w:outlineLvl w:val="1"/>
        <w:rPr>
          <w:rFonts w:ascii="宋体" w:cs="宋体"/>
          <w:bCs/>
          <w:vanish/>
          <w:color w:val="auto"/>
          <w:sz w:val="28"/>
          <w:szCs w:val="28"/>
          <w:highlight w:val="none"/>
        </w:rPr>
      </w:pPr>
      <w:bookmarkStart w:id="377" w:name="_Toc9672"/>
      <w:bookmarkEnd w:id="377"/>
      <w:bookmarkStart w:id="378" w:name="_Toc486495576"/>
      <w:bookmarkEnd w:id="378"/>
      <w:bookmarkStart w:id="379" w:name="_Toc21781"/>
      <w:bookmarkEnd w:id="379"/>
      <w:bookmarkStart w:id="380" w:name="_Toc475520033"/>
      <w:bookmarkEnd w:id="380"/>
      <w:bookmarkStart w:id="381" w:name="_Toc485130956"/>
      <w:bookmarkEnd w:id="381"/>
      <w:bookmarkStart w:id="382" w:name="_Toc485072854"/>
      <w:bookmarkEnd w:id="382"/>
      <w:bookmarkStart w:id="383" w:name="_Toc492900245"/>
      <w:bookmarkEnd w:id="383"/>
      <w:bookmarkStart w:id="384" w:name="_Toc485139507"/>
      <w:bookmarkEnd w:id="384"/>
      <w:bookmarkStart w:id="385" w:name="_Toc485072652"/>
      <w:bookmarkEnd w:id="385"/>
      <w:bookmarkStart w:id="386" w:name="_Toc605"/>
      <w:bookmarkEnd w:id="386"/>
      <w:bookmarkStart w:id="387" w:name="_Toc470509323"/>
      <w:bookmarkEnd w:id="387"/>
      <w:bookmarkStart w:id="388" w:name="_Toc485071764"/>
      <w:bookmarkEnd w:id="388"/>
      <w:bookmarkStart w:id="389" w:name="_Toc467419387"/>
      <w:bookmarkEnd w:id="389"/>
      <w:bookmarkStart w:id="390" w:name="_Toc474941251"/>
      <w:bookmarkEnd w:id="390"/>
      <w:bookmarkStart w:id="391" w:name="_Toc472090898"/>
      <w:bookmarkEnd w:id="391"/>
      <w:bookmarkStart w:id="392" w:name="_Toc485139305"/>
      <w:bookmarkEnd w:id="392"/>
      <w:bookmarkStart w:id="393" w:name="_Toc485071562"/>
      <w:bookmarkEnd w:id="393"/>
      <w:bookmarkStart w:id="394" w:name="_Toc485131159"/>
      <w:bookmarkEnd w:id="394"/>
      <w:bookmarkStart w:id="395" w:name="_Toc467418860"/>
      <w:bookmarkEnd w:id="395"/>
      <w:bookmarkStart w:id="396" w:name="_Toc485072450"/>
      <w:bookmarkEnd w:id="396"/>
      <w:bookmarkStart w:id="397" w:name="_Toc467420232"/>
      <w:bookmarkEnd w:id="397"/>
      <w:bookmarkStart w:id="398" w:name="_Toc468190005"/>
      <w:bookmarkEnd w:id="398"/>
      <w:bookmarkStart w:id="399" w:name="_Toc486495306"/>
      <w:bookmarkEnd w:id="399"/>
      <w:bookmarkStart w:id="400" w:name="_Toc472090473"/>
      <w:bookmarkEnd w:id="400"/>
      <w:bookmarkStart w:id="401" w:name="_Toc497731147"/>
      <w:bookmarkEnd w:id="401"/>
      <w:bookmarkStart w:id="402" w:name="_Toc485079129"/>
      <w:bookmarkEnd w:id="402"/>
      <w:bookmarkStart w:id="403" w:name="_Toc496512729"/>
      <w:bookmarkEnd w:id="403"/>
      <w:bookmarkStart w:id="404" w:name="_Toc485073056"/>
      <w:bookmarkEnd w:id="404"/>
      <w:bookmarkStart w:id="405" w:name="_Toc493755146"/>
      <w:bookmarkEnd w:id="405"/>
      <w:bookmarkStart w:id="406" w:name="_Toc485148760"/>
      <w:bookmarkEnd w:id="406"/>
      <w:bookmarkStart w:id="407" w:name="_Toc22813"/>
      <w:bookmarkEnd w:id="407"/>
    </w:p>
    <w:p>
      <w:pPr>
        <w:pStyle w:val="41"/>
        <w:spacing w:line="560" w:lineRule="exact"/>
        <w:ind w:firstLine="31680"/>
        <w:outlineLvl w:val="1"/>
        <w:rPr>
          <w:rFonts w:ascii="宋体" w:cs="宋体"/>
          <w:color w:val="auto"/>
          <w:sz w:val="28"/>
          <w:szCs w:val="28"/>
          <w:highlight w:val="none"/>
        </w:rPr>
      </w:pPr>
      <w:bookmarkStart w:id="408" w:name="_Toc19263_WPSOffice_Level2"/>
      <w:bookmarkStart w:id="409" w:name="_Toc28900"/>
      <w:bookmarkStart w:id="410" w:name="_Toc1615_WPSOffice_Level2"/>
      <w:bookmarkStart w:id="411" w:name="_Toc2865"/>
      <w:bookmarkStart w:id="412" w:name="_Toc8761"/>
      <w:bookmarkStart w:id="413" w:name="_Toc5161_WPSOffice_Level2"/>
      <w:bookmarkStart w:id="414" w:name="_Toc10585"/>
      <w:bookmarkStart w:id="415" w:name="_Toc25181"/>
      <w:bookmarkStart w:id="416" w:name="_Toc14407_WPSOffice_Level2"/>
      <w:r>
        <w:rPr>
          <w:rFonts w:ascii="宋体" w:hAnsi="宋体" w:cs="宋体"/>
          <w:color w:val="auto"/>
          <w:sz w:val="28"/>
          <w:szCs w:val="28"/>
          <w:highlight w:val="none"/>
        </w:rPr>
        <w:t>7.1</w:t>
      </w:r>
      <w:r>
        <w:rPr>
          <w:rFonts w:hint="eastAsia" w:ascii="宋体" w:hAnsi="宋体" w:cs="宋体"/>
          <w:color w:val="auto"/>
          <w:sz w:val="28"/>
          <w:szCs w:val="28"/>
          <w:highlight w:val="none"/>
        </w:rPr>
        <w:t>总图运输</w:t>
      </w:r>
      <w:bookmarkEnd w:id="408"/>
      <w:bookmarkEnd w:id="409"/>
      <w:bookmarkEnd w:id="410"/>
      <w:bookmarkEnd w:id="411"/>
      <w:bookmarkEnd w:id="412"/>
      <w:bookmarkEnd w:id="413"/>
      <w:bookmarkEnd w:id="414"/>
      <w:bookmarkEnd w:id="415"/>
      <w:bookmarkEnd w:id="416"/>
    </w:p>
    <w:p>
      <w:pPr>
        <w:pStyle w:val="41"/>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7.1.1</w:t>
      </w:r>
      <w:r>
        <w:rPr>
          <w:rFonts w:hint="eastAsia" w:ascii="宋体" w:hAnsi="宋体" w:cs="宋体"/>
          <w:color w:val="auto"/>
          <w:sz w:val="28"/>
          <w:szCs w:val="28"/>
          <w:highlight w:val="none"/>
        </w:rPr>
        <w:t>概述</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位于江苏省镇江市新区新材料产业园内，该地区地理位置优越，园区已形成以精细化工产业为主导、以生产性服务业和电镀产业为补充的产业格局。整体来看，园区原有的化工产业已涉及石化下游衍生产业、化工新材料产业、精细与专用化学品产业、基础无机化学品产业方面。本项目地块位西临粮山路，东临新竹河，北接孩溪路，南侧为粮山支路。</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项目场地西南高东北低，地形较为平坦，高程在</w:t>
      </w:r>
      <w:r>
        <w:rPr>
          <w:rFonts w:ascii="宋体" w:hAnsi="宋体" w:cs="宋体"/>
          <w:color w:val="auto"/>
          <w:sz w:val="28"/>
          <w:szCs w:val="28"/>
          <w:highlight w:val="none"/>
        </w:rPr>
        <w:t>10.22~17.5</w:t>
      </w:r>
      <w:r>
        <w:rPr>
          <w:rFonts w:hint="eastAsia" w:ascii="宋体" w:hAnsi="宋体" w:cs="宋体"/>
          <w:color w:val="auto"/>
          <w:sz w:val="28"/>
          <w:szCs w:val="28"/>
          <w:highlight w:val="none"/>
        </w:rPr>
        <w:t>米。厂址所在地年主导风向为东风、东北风、东南风，夏季主导风向为东南风、东风。本区地震烈度为</w:t>
      </w:r>
      <w:r>
        <w:rPr>
          <w:rFonts w:ascii="宋体" w:hAnsi="宋体" w:cs="宋体"/>
          <w:color w:val="auto"/>
          <w:sz w:val="28"/>
          <w:szCs w:val="28"/>
          <w:highlight w:val="none"/>
        </w:rPr>
        <w:t>7</w:t>
      </w:r>
      <w:r>
        <w:rPr>
          <w:rFonts w:hint="eastAsia" w:ascii="宋体" w:hAnsi="宋体" w:cs="宋体"/>
          <w:color w:val="auto"/>
          <w:sz w:val="28"/>
          <w:szCs w:val="28"/>
          <w:highlight w:val="none"/>
        </w:rPr>
        <w:t>级，设计基本地震加速度为</w:t>
      </w:r>
      <w:r>
        <w:rPr>
          <w:rFonts w:ascii="宋体" w:hAnsi="宋体" w:cs="宋体"/>
          <w:color w:val="auto"/>
          <w:sz w:val="28"/>
          <w:szCs w:val="28"/>
          <w:highlight w:val="none"/>
        </w:rPr>
        <w:t>0.15g</w:t>
      </w:r>
      <w:r>
        <w:rPr>
          <w:rFonts w:hint="eastAsia" w:ascii="宋体" w:hAnsi="宋体" w:cs="宋体"/>
          <w:color w:val="auto"/>
          <w:sz w:val="28"/>
          <w:szCs w:val="28"/>
          <w:highlight w:val="none"/>
        </w:rPr>
        <w:t>，设计地震分组为第一组。</w:t>
      </w:r>
    </w:p>
    <w:p>
      <w:pPr>
        <w:pStyle w:val="32"/>
        <w:spacing w:line="560" w:lineRule="exact"/>
        <w:ind w:firstLine="31680"/>
        <w:jc w:val="left"/>
        <w:outlineLvl w:val="2"/>
        <w:rPr>
          <w:rFonts w:ascii="宋体" w:cs="宋体"/>
          <w:bCs/>
          <w:color w:val="auto"/>
          <w:sz w:val="28"/>
          <w:szCs w:val="28"/>
          <w:highlight w:val="none"/>
        </w:rPr>
      </w:pPr>
      <w:bookmarkStart w:id="417" w:name="_Toc11774"/>
      <w:r>
        <w:rPr>
          <w:rFonts w:ascii="宋体" w:hAnsi="宋体" w:cs="宋体"/>
          <w:bCs/>
          <w:color w:val="auto"/>
          <w:sz w:val="28"/>
          <w:szCs w:val="28"/>
          <w:highlight w:val="none"/>
        </w:rPr>
        <w:t>7.1.2</w:t>
      </w:r>
      <w:r>
        <w:rPr>
          <w:rFonts w:hint="eastAsia" w:ascii="宋体" w:hAnsi="宋体" w:cs="宋体"/>
          <w:bCs/>
          <w:color w:val="auto"/>
          <w:sz w:val="28"/>
          <w:szCs w:val="28"/>
          <w:highlight w:val="none"/>
        </w:rPr>
        <w:t>总平图布置原则</w:t>
      </w:r>
      <w:bookmarkEnd w:id="417"/>
    </w:p>
    <w:p>
      <w:pPr>
        <w:pStyle w:val="32"/>
        <w:spacing w:line="560" w:lineRule="exact"/>
        <w:ind w:firstLine="31680"/>
        <w:jc w:val="left"/>
        <w:outlineLvl w:val="3"/>
        <w:rPr>
          <w:rStyle w:val="43"/>
          <w:rFonts w:ascii="宋体" w:hAnsi="Calibri" w:eastAsia="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1</w:t>
      </w:r>
      <w:r>
        <w:rPr>
          <w:rFonts w:hint="eastAsia" w:ascii="宋体" w:hAnsi="宋体" w:cs="宋体"/>
          <w:bCs/>
          <w:color w:val="auto"/>
          <w:sz w:val="28"/>
          <w:szCs w:val="28"/>
          <w:highlight w:val="none"/>
        </w:rPr>
        <w:t>）设计依据</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《工业企业总平面设计规范》</w:t>
      </w:r>
      <w:r>
        <w:rPr>
          <w:rFonts w:ascii="宋体" w:hAnsi="宋体" w:cs="宋体"/>
          <w:bCs/>
          <w:color w:val="auto"/>
          <w:sz w:val="28"/>
          <w:szCs w:val="28"/>
          <w:highlight w:val="none"/>
        </w:rPr>
        <w:t>GB50187-2012</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《石油化工防火设计规范》（</w:t>
      </w:r>
      <w:r>
        <w:rPr>
          <w:rFonts w:ascii="宋体" w:hAnsi="宋体" w:cs="宋体"/>
          <w:bCs/>
          <w:color w:val="auto"/>
          <w:sz w:val="28"/>
          <w:szCs w:val="28"/>
          <w:highlight w:val="none"/>
        </w:rPr>
        <w:t>2018</w:t>
      </w:r>
      <w:r>
        <w:rPr>
          <w:rFonts w:hint="eastAsia" w:ascii="宋体" w:hAnsi="宋体" w:cs="宋体"/>
          <w:bCs/>
          <w:color w:val="auto"/>
          <w:sz w:val="28"/>
          <w:szCs w:val="28"/>
          <w:highlight w:val="none"/>
        </w:rPr>
        <w:t>年版）</w:t>
      </w:r>
      <w:r>
        <w:rPr>
          <w:rFonts w:ascii="宋体" w:hAnsi="宋体" w:cs="宋体"/>
          <w:bCs/>
          <w:color w:val="auto"/>
          <w:sz w:val="28"/>
          <w:szCs w:val="28"/>
          <w:highlight w:val="none"/>
        </w:rPr>
        <w:t>GB50160-2008</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《建筑设计防火规范》（</w:t>
      </w:r>
      <w:r>
        <w:rPr>
          <w:rFonts w:ascii="宋体" w:hAnsi="宋体" w:cs="宋体"/>
          <w:bCs/>
          <w:color w:val="auto"/>
          <w:sz w:val="28"/>
          <w:szCs w:val="28"/>
          <w:highlight w:val="none"/>
        </w:rPr>
        <w:t>2018</w:t>
      </w:r>
      <w:r>
        <w:rPr>
          <w:rFonts w:hint="eastAsia" w:ascii="宋体" w:hAnsi="宋体" w:cs="宋体"/>
          <w:bCs/>
          <w:color w:val="auto"/>
          <w:sz w:val="28"/>
          <w:szCs w:val="28"/>
          <w:highlight w:val="none"/>
        </w:rPr>
        <w:t>年版）</w:t>
      </w:r>
      <w:r>
        <w:rPr>
          <w:rFonts w:ascii="宋体" w:hAnsi="宋体" w:cs="宋体"/>
          <w:bCs/>
          <w:color w:val="auto"/>
          <w:sz w:val="28"/>
          <w:szCs w:val="28"/>
          <w:highlight w:val="none"/>
        </w:rPr>
        <w:t xml:space="preserve">GB50016-2014 </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《室外排水设计规范》（</w:t>
      </w:r>
      <w:r>
        <w:rPr>
          <w:rFonts w:ascii="宋体" w:hAnsi="宋体" w:cs="宋体"/>
          <w:bCs/>
          <w:color w:val="auto"/>
          <w:sz w:val="28"/>
          <w:szCs w:val="28"/>
          <w:highlight w:val="none"/>
        </w:rPr>
        <w:t>2016</w:t>
      </w:r>
      <w:r>
        <w:rPr>
          <w:rFonts w:hint="eastAsia" w:ascii="宋体" w:hAnsi="宋体" w:cs="宋体"/>
          <w:bCs/>
          <w:color w:val="auto"/>
          <w:sz w:val="28"/>
          <w:szCs w:val="28"/>
          <w:highlight w:val="none"/>
        </w:rPr>
        <w:t>年版）</w:t>
      </w:r>
      <w:r>
        <w:rPr>
          <w:rFonts w:ascii="宋体" w:hAnsi="宋体" w:cs="宋体"/>
          <w:bCs/>
          <w:color w:val="auto"/>
          <w:sz w:val="28"/>
          <w:szCs w:val="28"/>
          <w:highlight w:val="none"/>
        </w:rPr>
        <w:t>GB50014-2021</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《建筑给水排水设计规范》</w:t>
      </w:r>
      <w:r>
        <w:rPr>
          <w:rFonts w:ascii="宋体" w:hAnsi="宋体" w:cs="宋体"/>
          <w:bCs/>
          <w:color w:val="auto"/>
          <w:sz w:val="28"/>
          <w:szCs w:val="28"/>
          <w:highlight w:val="none"/>
        </w:rPr>
        <w:t>GB50015-2019</w:t>
      </w:r>
    </w:p>
    <w:p>
      <w:pPr>
        <w:pStyle w:val="32"/>
        <w:spacing w:line="560" w:lineRule="exact"/>
        <w:ind w:firstLine="31680"/>
        <w:jc w:val="left"/>
        <w:outlineLvl w:val="3"/>
        <w:rPr>
          <w:rStyle w:val="43"/>
          <w:rFonts w:ascii="宋体" w:hAnsi="Calibri" w:eastAsia="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）布置原则</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本工程的生产装置和辅助设施的总平面布置满足规划要求，符合本工程的特点及场地现状，满足生产需要。</w:t>
      </w:r>
    </w:p>
    <w:p>
      <w:pPr>
        <w:pStyle w:val="41"/>
        <w:spacing w:line="560" w:lineRule="exact"/>
        <w:ind w:firstLine="31680"/>
        <w:rPr>
          <w:rFonts w:ascii="宋体" w:hAnsi="宋体" w:cs="宋体"/>
          <w:color w:val="auto"/>
          <w:sz w:val="28"/>
          <w:szCs w:val="28"/>
          <w:highlight w:val="none"/>
        </w:rPr>
      </w:pPr>
      <w:r>
        <w:rPr>
          <w:rFonts w:hint="eastAsia" w:ascii="宋体" w:hAnsi="宋体" w:cs="宋体"/>
          <w:color w:val="auto"/>
          <w:sz w:val="28"/>
          <w:szCs w:val="28"/>
          <w:highlight w:val="none"/>
        </w:rPr>
        <w:t>符合国家及相关部门的现行防火、安全、卫生等规范要求，保障生产安全。</w:t>
      </w:r>
      <w:r>
        <w:rPr>
          <w:rFonts w:ascii="宋体" w:hAnsi="宋体" w:cs="宋体"/>
          <w:color w:val="auto"/>
          <w:sz w:val="28"/>
          <w:szCs w:val="28"/>
          <w:highlight w:val="none"/>
        </w:rPr>
        <w:t xml:space="preserve"> </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在符合生产工艺流程、操作要求和使用功能的前提下，建、构筑物尽量合并、工艺装置设备露天化、集中联合布置，以达到尽可能缩短工程管线、节能降耗、降低成本及工程造价、节约用地的目的。</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根据生产装置的性质，合理分区布置、便于生产管理；辅助生产设施在符合其特性要求条件下，靠近负荷中心，尽量依托全厂公用工程。</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进行合理运输组织，缩短运输距离，避免人流与物流的交叉，确保人员安全疏散。</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总图布置要满足风向及建筑朝向的要求，最大限度地优化生产环境，创造安全、环保、整洁的现代化工厂。</w:t>
      </w:r>
    </w:p>
    <w:p>
      <w:pPr>
        <w:pStyle w:val="41"/>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总平面布置应力求达到先进、高效、环保、安全等技术功能和水平。</w:t>
      </w:r>
    </w:p>
    <w:p>
      <w:pPr>
        <w:pStyle w:val="32"/>
        <w:spacing w:line="560" w:lineRule="exact"/>
        <w:ind w:firstLine="31680"/>
        <w:jc w:val="left"/>
        <w:outlineLvl w:val="3"/>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3</w:t>
      </w:r>
      <w:r>
        <w:rPr>
          <w:rFonts w:hint="eastAsia" w:ascii="宋体" w:hAnsi="宋体" w:cs="宋体"/>
          <w:bCs/>
          <w:color w:val="auto"/>
          <w:sz w:val="28"/>
          <w:szCs w:val="28"/>
          <w:highlight w:val="none"/>
        </w:rPr>
        <w:t>）装置组成</w:t>
      </w:r>
    </w:p>
    <w:p>
      <w:pPr>
        <w:spacing w:line="560" w:lineRule="exact"/>
        <w:ind w:firstLine="560" w:firstLineChars="200"/>
        <w:rPr>
          <w:rFonts w:ascii="宋体" w:cs="宋体"/>
          <w:color w:val="auto"/>
          <w:sz w:val="28"/>
          <w:szCs w:val="28"/>
          <w:highlight w:val="none"/>
        </w:rPr>
      </w:pPr>
      <w:r>
        <w:rPr>
          <w:rFonts w:hint="eastAsia" w:ascii="宋体" w:hAnsi="宋体" w:cs="宋体"/>
          <w:bCs/>
          <w:color w:val="auto"/>
          <w:sz w:val="28"/>
          <w:szCs w:val="28"/>
          <w:highlight w:val="none"/>
        </w:rPr>
        <w:t>本项目研究的主要生产装置：</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年次氯酸钠项目</w:t>
      </w:r>
      <w:r>
        <w:rPr>
          <w:rFonts w:hint="eastAsia" w:ascii="宋体" w:hAnsi="宋体" w:cs="宋体"/>
          <w:color w:val="auto"/>
          <w:sz w:val="28"/>
          <w:szCs w:val="28"/>
          <w:highlight w:val="none"/>
        </w:rPr>
        <w:t>生产装置。</w:t>
      </w:r>
    </w:p>
    <w:p>
      <w:pPr>
        <w:pStyle w:val="32"/>
        <w:spacing w:line="560" w:lineRule="exact"/>
        <w:ind w:firstLine="31680"/>
        <w:jc w:val="left"/>
        <w:outlineLvl w:val="3"/>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4</w:t>
      </w:r>
      <w:r>
        <w:rPr>
          <w:rFonts w:hint="eastAsia" w:ascii="宋体" w:hAnsi="宋体" w:cs="宋体"/>
          <w:bCs/>
          <w:color w:val="auto"/>
          <w:sz w:val="28"/>
          <w:szCs w:val="28"/>
          <w:highlight w:val="none"/>
        </w:rPr>
        <w:t>）平面位置</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生产装置按照流程顺序合理布置，并与控制室保持一定距离，既满足工艺生产需要，又保障了工作人员良好的工作环境。</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本项目位于二次盐水及电解装置区</w:t>
      </w:r>
      <w:r>
        <w:rPr>
          <w:rFonts w:hint="eastAsia" w:ascii="宋体" w:hAnsi="宋体" w:cs="宋体"/>
          <w:bCs/>
          <w:color w:val="auto"/>
          <w:sz w:val="28"/>
          <w:szCs w:val="28"/>
          <w:highlight w:val="none"/>
          <w:lang w:val="en-US" w:eastAsia="zh-CN"/>
        </w:rPr>
        <w:t>西</w:t>
      </w:r>
      <w:r>
        <w:rPr>
          <w:rFonts w:hint="eastAsia" w:ascii="宋体" w:hAnsi="宋体" w:cs="宋体"/>
          <w:bCs/>
          <w:color w:val="auto"/>
          <w:sz w:val="28"/>
          <w:szCs w:val="28"/>
          <w:highlight w:val="none"/>
        </w:rPr>
        <w:t>侧空地，</w:t>
      </w:r>
      <w:r>
        <w:rPr>
          <w:rFonts w:hint="eastAsia" w:ascii="宋体" w:hAnsi="宋体" w:cs="宋体"/>
          <w:bCs/>
          <w:color w:val="auto"/>
          <w:sz w:val="28"/>
          <w:szCs w:val="28"/>
          <w:highlight w:val="none"/>
          <w:lang w:val="en-US" w:eastAsia="zh-CN"/>
        </w:rPr>
        <w:t>次氯酸钠</w:t>
      </w:r>
      <w:r>
        <w:rPr>
          <w:rFonts w:hint="eastAsia" w:ascii="宋体" w:hAnsi="宋体" w:cs="宋体"/>
          <w:bCs/>
          <w:color w:val="auto"/>
          <w:sz w:val="28"/>
          <w:szCs w:val="28"/>
          <w:highlight w:val="none"/>
        </w:rPr>
        <w:t>生产框架在南，</w:t>
      </w:r>
      <w:r>
        <w:rPr>
          <w:rFonts w:hint="eastAsia" w:ascii="宋体" w:hAnsi="宋体" w:cs="宋体"/>
          <w:bCs/>
          <w:color w:val="auto"/>
          <w:sz w:val="28"/>
          <w:szCs w:val="28"/>
          <w:highlight w:val="none"/>
          <w:lang w:val="en-US" w:eastAsia="zh-CN"/>
        </w:rPr>
        <w:t>次氯酸钠</w:t>
      </w:r>
      <w:r>
        <w:rPr>
          <w:rFonts w:hint="eastAsia" w:ascii="宋体" w:hAnsi="宋体" w:cs="宋体"/>
          <w:bCs/>
          <w:color w:val="auto"/>
          <w:sz w:val="28"/>
          <w:szCs w:val="28"/>
          <w:highlight w:val="none"/>
        </w:rPr>
        <w:t>缓冲罐在北；本项目属于二次盐水及电解装置的一部分。</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本项目平面布置设计依据《建筑设计防火规范</w:t>
      </w:r>
      <w:r>
        <w:rPr>
          <w:rFonts w:ascii="宋体" w:hAnsi="宋体" w:cs="宋体"/>
          <w:bCs/>
          <w:color w:val="auto"/>
          <w:sz w:val="28"/>
          <w:szCs w:val="28"/>
          <w:highlight w:val="none"/>
        </w:rPr>
        <w:t>(2018</w:t>
      </w:r>
      <w:r>
        <w:rPr>
          <w:rFonts w:hint="eastAsia" w:ascii="宋体" w:hAnsi="宋体" w:cs="宋体"/>
          <w:bCs/>
          <w:color w:val="auto"/>
          <w:sz w:val="28"/>
          <w:szCs w:val="28"/>
          <w:highlight w:val="none"/>
        </w:rPr>
        <w:t>年版</w:t>
      </w:r>
      <w:r>
        <w:rPr>
          <w:rFonts w:ascii="宋体" w:hAnsi="宋体" w:cs="宋体"/>
          <w:bCs/>
          <w:color w:val="auto"/>
          <w:sz w:val="28"/>
          <w:szCs w:val="28"/>
          <w:highlight w:val="none"/>
        </w:rPr>
        <w:t>)</w:t>
      </w:r>
      <w:r>
        <w:rPr>
          <w:rFonts w:hint="eastAsia" w:ascii="宋体" w:hAnsi="宋体" w:cs="宋体"/>
          <w:bCs/>
          <w:color w:val="auto"/>
          <w:sz w:val="28"/>
          <w:szCs w:val="28"/>
          <w:highlight w:val="none"/>
        </w:rPr>
        <w:t>》（</w:t>
      </w:r>
      <w:r>
        <w:rPr>
          <w:rFonts w:ascii="宋体" w:hAnsi="宋体" w:cs="宋体"/>
          <w:bCs/>
          <w:color w:val="auto"/>
          <w:sz w:val="28"/>
          <w:szCs w:val="28"/>
          <w:highlight w:val="none"/>
        </w:rPr>
        <w:t>GB50016-2014</w:t>
      </w:r>
      <w:r>
        <w:rPr>
          <w:rFonts w:hint="eastAsia" w:ascii="宋体" w:hAnsi="宋体" w:cs="宋体"/>
          <w:bCs/>
          <w:color w:val="auto"/>
          <w:sz w:val="28"/>
          <w:szCs w:val="28"/>
          <w:highlight w:val="none"/>
        </w:rPr>
        <w:t>）、《石油化工企业设计防火标准</w:t>
      </w:r>
      <w:r>
        <w:rPr>
          <w:rFonts w:ascii="宋体" w:hAnsi="宋体" w:cs="宋体"/>
          <w:bCs/>
          <w:color w:val="auto"/>
          <w:sz w:val="28"/>
          <w:szCs w:val="28"/>
          <w:highlight w:val="none"/>
        </w:rPr>
        <w:t>(2018</w:t>
      </w:r>
      <w:r>
        <w:rPr>
          <w:rFonts w:hint="eastAsia" w:ascii="宋体" w:hAnsi="宋体" w:cs="宋体"/>
          <w:bCs/>
          <w:color w:val="auto"/>
          <w:sz w:val="28"/>
          <w:szCs w:val="28"/>
          <w:highlight w:val="none"/>
        </w:rPr>
        <w:t>年版</w:t>
      </w:r>
      <w:r>
        <w:rPr>
          <w:rFonts w:ascii="宋体" w:hAnsi="宋体" w:cs="宋体"/>
          <w:bCs/>
          <w:color w:val="auto"/>
          <w:sz w:val="28"/>
          <w:szCs w:val="28"/>
          <w:highlight w:val="none"/>
        </w:rPr>
        <w:t>)</w:t>
      </w:r>
      <w:r>
        <w:rPr>
          <w:rFonts w:hint="eastAsia" w:ascii="宋体" w:hAnsi="宋体" w:cs="宋体"/>
          <w:bCs/>
          <w:color w:val="auto"/>
          <w:sz w:val="28"/>
          <w:szCs w:val="28"/>
          <w:highlight w:val="none"/>
        </w:rPr>
        <w:t>》（</w:t>
      </w:r>
      <w:r>
        <w:rPr>
          <w:rFonts w:ascii="宋体" w:hAnsi="宋体" w:cs="宋体"/>
          <w:bCs/>
          <w:color w:val="auto"/>
          <w:sz w:val="28"/>
          <w:szCs w:val="28"/>
          <w:highlight w:val="none"/>
        </w:rPr>
        <w:t>GB 50160-2008</w:t>
      </w:r>
      <w:r>
        <w:rPr>
          <w:rFonts w:hint="eastAsia" w:ascii="宋体" w:hAnsi="宋体" w:cs="宋体"/>
          <w:bCs/>
          <w:color w:val="auto"/>
          <w:sz w:val="28"/>
          <w:szCs w:val="28"/>
          <w:highlight w:val="none"/>
        </w:rPr>
        <w:t>）。</w:t>
      </w:r>
    </w:p>
    <w:p>
      <w:pPr>
        <w:pStyle w:val="32"/>
        <w:spacing w:line="560" w:lineRule="exact"/>
        <w:ind w:firstLine="31680"/>
        <w:jc w:val="left"/>
        <w:outlineLvl w:val="2"/>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5</w:t>
      </w:r>
      <w:r>
        <w:rPr>
          <w:rFonts w:hint="eastAsia" w:ascii="宋体" w:hAnsi="宋体" w:cs="宋体"/>
          <w:bCs/>
          <w:color w:val="auto"/>
          <w:sz w:val="28"/>
          <w:szCs w:val="28"/>
          <w:highlight w:val="none"/>
        </w:rPr>
        <w:t>）</w:t>
      </w:r>
      <w:bookmarkStart w:id="418" w:name="_Toc1624"/>
      <w:r>
        <w:rPr>
          <w:rFonts w:hint="eastAsia" w:ascii="宋体" w:hAnsi="宋体" w:cs="宋体"/>
          <w:bCs/>
          <w:color w:val="auto"/>
          <w:sz w:val="28"/>
          <w:szCs w:val="28"/>
          <w:highlight w:val="none"/>
        </w:rPr>
        <w:t>消防、安全</w:t>
      </w:r>
      <w:bookmarkEnd w:id="418"/>
    </w:p>
    <w:p>
      <w:pPr>
        <w:spacing w:line="560" w:lineRule="exact"/>
        <w:ind w:firstLine="560" w:firstLineChars="200"/>
        <w:jc w:val="left"/>
        <w:rPr>
          <w:rFonts w:ascii="宋体" w:cs="宋体"/>
          <w:bCs/>
          <w:color w:val="auto"/>
          <w:sz w:val="28"/>
          <w:szCs w:val="28"/>
          <w:highlight w:val="none"/>
        </w:rPr>
      </w:pPr>
      <w:bookmarkStart w:id="419" w:name="_Toc14203"/>
      <w:r>
        <w:rPr>
          <w:rFonts w:hint="eastAsia" w:ascii="宋体" w:hAnsi="宋体" w:cs="宋体"/>
          <w:bCs/>
          <w:color w:val="auto"/>
          <w:sz w:val="28"/>
          <w:szCs w:val="28"/>
          <w:highlight w:val="none"/>
        </w:rPr>
        <w:t>本项目生产装置符合有关的设计规定、规范</w:t>
      </w:r>
      <w:r>
        <w:rPr>
          <w:rFonts w:ascii="宋体" w:hAnsi="宋体" w:cs="宋体"/>
          <w:bCs/>
          <w:color w:val="auto"/>
          <w:sz w:val="28"/>
          <w:szCs w:val="28"/>
          <w:highlight w:val="none"/>
        </w:rPr>
        <w:t xml:space="preserve">, </w:t>
      </w:r>
      <w:r>
        <w:rPr>
          <w:rFonts w:hint="eastAsia" w:ascii="宋体" w:hAnsi="宋体" w:cs="宋体"/>
          <w:bCs/>
          <w:color w:val="auto"/>
          <w:sz w:val="28"/>
          <w:szCs w:val="28"/>
          <w:highlight w:val="none"/>
        </w:rPr>
        <w:t>厂房的布置满足安全间距要求。本项目安全出口通道应按规范要求设计，以利于防火、防爆。各生产界区要布置环形道路，以便消防车通行。</w:t>
      </w:r>
    </w:p>
    <w:p>
      <w:pPr>
        <w:pStyle w:val="32"/>
        <w:spacing w:line="560" w:lineRule="exact"/>
        <w:ind w:firstLine="31680"/>
        <w:jc w:val="left"/>
        <w:outlineLvl w:val="1"/>
        <w:rPr>
          <w:rFonts w:ascii="宋体" w:cs="宋体"/>
          <w:bCs/>
          <w:color w:val="auto"/>
          <w:sz w:val="28"/>
          <w:szCs w:val="28"/>
          <w:highlight w:val="none"/>
        </w:rPr>
      </w:pPr>
      <w:r>
        <w:rPr>
          <w:rFonts w:ascii="宋体" w:hAnsi="宋体" w:cs="宋体"/>
          <w:bCs/>
          <w:color w:val="auto"/>
          <w:sz w:val="28"/>
          <w:szCs w:val="28"/>
          <w:highlight w:val="none"/>
        </w:rPr>
        <w:t xml:space="preserve"> </w:t>
      </w:r>
      <w:bookmarkStart w:id="420" w:name="_Toc31965"/>
      <w:bookmarkStart w:id="421" w:name="_Toc28670"/>
      <w:r>
        <w:rPr>
          <w:rFonts w:ascii="宋体" w:hAnsi="宋体" w:cs="宋体"/>
          <w:bCs/>
          <w:color w:val="auto"/>
          <w:sz w:val="28"/>
          <w:szCs w:val="28"/>
          <w:highlight w:val="none"/>
        </w:rPr>
        <w:t>7.1.3</w:t>
      </w:r>
      <w:r>
        <w:rPr>
          <w:rFonts w:hint="eastAsia" w:ascii="宋体" w:hAnsi="宋体" w:cs="宋体"/>
          <w:bCs/>
          <w:color w:val="auto"/>
          <w:sz w:val="28"/>
          <w:szCs w:val="28"/>
          <w:highlight w:val="none"/>
        </w:rPr>
        <w:t>竖向布置</w:t>
      </w:r>
      <w:bookmarkEnd w:id="420"/>
      <w:bookmarkEnd w:id="421"/>
    </w:p>
    <w:p>
      <w:pPr>
        <w:pStyle w:val="41"/>
        <w:spacing w:line="560" w:lineRule="exact"/>
        <w:ind w:firstLine="31680"/>
        <w:rPr>
          <w:rFonts w:ascii="宋体" w:cs="宋体"/>
          <w:bCs/>
          <w:color w:val="auto"/>
          <w:kern w:val="2"/>
          <w:sz w:val="28"/>
          <w:szCs w:val="28"/>
          <w:highlight w:val="none"/>
        </w:rPr>
      </w:pPr>
      <w:r>
        <w:rPr>
          <w:rFonts w:hint="eastAsia" w:ascii="宋体" w:hAnsi="宋体" w:cs="宋体"/>
          <w:bCs/>
          <w:color w:val="auto"/>
          <w:kern w:val="2"/>
          <w:sz w:val="28"/>
          <w:szCs w:val="28"/>
          <w:highlight w:val="none"/>
        </w:rPr>
        <w:t>（</w:t>
      </w:r>
      <w:r>
        <w:rPr>
          <w:rFonts w:ascii="宋体" w:hAnsi="宋体" w:cs="宋体"/>
          <w:bCs/>
          <w:color w:val="auto"/>
          <w:kern w:val="2"/>
          <w:sz w:val="28"/>
          <w:szCs w:val="28"/>
          <w:highlight w:val="none"/>
        </w:rPr>
        <w:t>1</w:t>
      </w:r>
      <w:r>
        <w:rPr>
          <w:rFonts w:hint="eastAsia" w:ascii="宋体" w:hAnsi="宋体" w:cs="宋体"/>
          <w:bCs/>
          <w:color w:val="auto"/>
          <w:kern w:val="2"/>
          <w:sz w:val="28"/>
          <w:szCs w:val="28"/>
          <w:highlight w:val="none"/>
        </w:rPr>
        <w:t>）竖向布置原则</w:t>
      </w:r>
    </w:p>
    <w:p>
      <w:pPr>
        <w:numPr>
          <w:ilvl w:val="1"/>
          <w:numId w:val="5"/>
        </w:numPr>
        <w:snapToGrid w:val="0"/>
        <w:spacing w:line="560" w:lineRule="exact"/>
        <w:ind w:left="0" w:firstLine="560" w:firstLineChars="200"/>
        <w:rPr>
          <w:rFonts w:ascii="宋体" w:cs="宋体"/>
          <w:bCs/>
          <w:color w:val="auto"/>
          <w:sz w:val="28"/>
          <w:szCs w:val="28"/>
          <w:highlight w:val="none"/>
        </w:rPr>
      </w:pPr>
      <w:r>
        <w:rPr>
          <w:rFonts w:hint="eastAsia" w:ascii="宋体" w:hAnsi="宋体" w:cs="宋体"/>
          <w:bCs/>
          <w:color w:val="auto"/>
          <w:sz w:val="28"/>
          <w:szCs w:val="28"/>
          <w:highlight w:val="none"/>
        </w:rPr>
        <w:t>全厂竖向设计统一考虑土方平衡，合理利用地形，尽量减少场地平整土石方工程量，使施工调运土方线路便捷。</w:t>
      </w:r>
    </w:p>
    <w:p>
      <w:pPr>
        <w:numPr>
          <w:ilvl w:val="1"/>
          <w:numId w:val="5"/>
        </w:numPr>
        <w:snapToGrid w:val="0"/>
        <w:spacing w:line="560" w:lineRule="exact"/>
        <w:ind w:left="0" w:firstLine="560" w:firstLineChars="200"/>
        <w:rPr>
          <w:rFonts w:ascii="宋体" w:cs="宋体"/>
          <w:bCs/>
          <w:color w:val="auto"/>
          <w:sz w:val="28"/>
          <w:szCs w:val="28"/>
          <w:highlight w:val="none"/>
        </w:rPr>
      </w:pPr>
      <w:r>
        <w:rPr>
          <w:rFonts w:hint="eastAsia" w:ascii="宋体" w:hAnsi="宋体" w:cs="宋体"/>
          <w:bCs/>
          <w:color w:val="auto"/>
          <w:sz w:val="28"/>
          <w:szCs w:val="28"/>
          <w:highlight w:val="none"/>
        </w:rPr>
        <w:t>厂区设计地面坡度的确定应考虑敷设管架、管线及铺设道路的限坡要求，以利生产和行车。</w:t>
      </w:r>
    </w:p>
    <w:p>
      <w:pPr>
        <w:numPr>
          <w:ilvl w:val="1"/>
          <w:numId w:val="5"/>
        </w:numPr>
        <w:snapToGrid w:val="0"/>
        <w:spacing w:line="560" w:lineRule="exact"/>
        <w:ind w:left="0" w:firstLine="560" w:firstLineChars="200"/>
        <w:rPr>
          <w:rFonts w:ascii="宋体" w:cs="宋体"/>
          <w:bCs/>
          <w:color w:val="auto"/>
          <w:sz w:val="28"/>
          <w:szCs w:val="28"/>
          <w:highlight w:val="none"/>
        </w:rPr>
      </w:pPr>
      <w:r>
        <w:rPr>
          <w:rFonts w:hint="eastAsia" w:ascii="宋体" w:hAnsi="宋体" w:cs="宋体"/>
          <w:bCs/>
          <w:color w:val="auto"/>
          <w:sz w:val="28"/>
          <w:szCs w:val="28"/>
          <w:highlight w:val="none"/>
        </w:rPr>
        <w:t>与厂区外周边地坪标高协调，保证厂区不受洪水和内涝的威胁。</w:t>
      </w:r>
    </w:p>
    <w:p>
      <w:pPr>
        <w:numPr>
          <w:ilvl w:val="1"/>
          <w:numId w:val="5"/>
        </w:numPr>
        <w:snapToGrid w:val="0"/>
        <w:spacing w:line="560" w:lineRule="exact"/>
        <w:ind w:left="0" w:firstLine="560" w:firstLineChars="200"/>
        <w:rPr>
          <w:rFonts w:ascii="宋体" w:cs="宋体"/>
          <w:bCs/>
          <w:color w:val="auto"/>
          <w:sz w:val="28"/>
          <w:szCs w:val="28"/>
          <w:highlight w:val="none"/>
        </w:rPr>
      </w:pPr>
      <w:r>
        <w:rPr>
          <w:rFonts w:hint="eastAsia" w:ascii="宋体" w:hAnsi="宋体" w:cs="宋体"/>
          <w:bCs/>
          <w:color w:val="auto"/>
          <w:sz w:val="28"/>
          <w:szCs w:val="28"/>
          <w:highlight w:val="none"/>
        </w:rPr>
        <w:t>根据厂区用地及地形条件，竖向设计基本采用平坡式布置方式。</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）竖向布置方案</w:t>
      </w:r>
    </w:p>
    <w:p>
      <w:pPr>
        <w:spacing w:line="560" w:lineRule="exact"/>
        <w:ind w:firstLine="560" w:firstLineChars="200"/>
        <w:jc w:val="left"/>
        <w:rPr>
          <w:rFonts w:ascii="宋体" w:cs="宋体"/>
          <w:bCs/>
          <w:color w:val="auto"/>
          <w:sz w:val="28"/>
          <w:szCs w:val="28"/>
          <w:highlight w:val="none"/>
        </w:rPr>
      </w:pPr>
      <w:bookmarkStart w:id="422" w:name="_Toc25049_WPSOffice_Level2"/>
      <w:bookmarkStart w:id="423" w:name="_Toc2292_WPSOffice_Level2"/>
      <w:bookmarkStart w:id="424" w:name="_Toc8287_WPSOffice_Level2"/>
      <w:bookmarkStart w:id="425" w:name="_Toc8313_WPSOffice_Level2"/>
      <w:bookmarkStart w:id="426" w:name="_Toc30447"/>
      <w:bookmarkStart w:id="427" w:name="_Toc3935"/>
      <w:bookmarkStart w:id="428" w:name="_Toc12808"/>
      <w:r>
        <w:rPr>
          <w:rFonts w:hint="eastAsia" w:ascii="宋体" w:hAnsi="宋体" w:cs="宋体"/>
          <w:bCs/>
          <w:color w:val="auto"/>
          <w:sz w:val="28"/>
          <w:szCs w:val="28"/>
          <w:highlight w:val="none"/>
        </w:rPr>
        <w:t>根据竖向布置原则、工艺布置要求，综合考虑厂内道路与周边道路标高相协调，满足生产、运输与货物装卸等对场地的要求，结合场地的自然地形特点，尽量节省土（石）方工程量，场地竖向布置采用连续平坡式。场地雨水排水利用道路坡度将雨水排至雨水管网后统一处理。</w:t>
      </w:r>
    </w:p>
    <w:p>
      <w:pPr>
        <w:snapToGrid w:val="0"/>
        <w:spacing w:line="560" w:lineRule="exact"/>
        <w:ind w:firstLine="560" w:firstLineChars="200"/>
        <w:outlineLvl w:val="1"/>
        <w:rPr>
          <w:rFonts w:ascii="宋体" w:cs="宋体"/>
          <w:bCs/>
          <w:color w:val="auto"/>
          <w:sz w:val="28"/>
          <w:szCs w:val="28"/>
          <w:highlight w:val="none"/>
        </w:rPr>
      </w:pPr>
      <w:bookmarkStart w:id="429" w:name="_Toc22974"/>
      <w:r>
        <w:rPr>
          <w:rFonts w:ascii="宋体" w:hAnsi="宋体" w:cs="宋体"/>
          <w:bCs/>
          <w:color w:val="auto"/>
          <w:sz w:val="28"/>
          <w:szCs w:val="28"/>
          <w:highlight w:val="none"/>
        </w:rPr>
        <w:t>7.2</w:t>
      </w:r>
      <w:r>
        <w:rPr>
          <w:rFonts w:hint="eastAsia" w:ascii="宋体" w:hAnsi="宋体" w:cs="宋体"/>
          <w:bCs/>
          <w:color w:val="auto"/>
          <w:sz w:val="28"/>
          <w:szCs w:val="28"/>
          <w:highlight w:val="none"/>
        </w:rPr>
        <w:t>储运</w:t>
      </w:r>
      <w:bookmarkEnd w:id="419"/>
      <w:bookmarkEnd w:id="422"/>
      <w:bookmarkEnd w:id="423"/>
      <w:bookmarkEnd w:id="424"/>
      <w:bookmarkEnd w:id="425"/>
      <w:bookmarkEnd w:id="426"/>
      <w:bookmarkEnd w:id="427"/>
      <w:bookmarkEnd w:id="428"/>
      <w:bookmarkEnd w:id="429"/>
    </w:p>
    <w:p>
      <w:pPr>
        <w:spacing w:line="560" w:lineRule="exact"/>
        <w:ind w:firstLine="560" w:firstLineChars="200"/>
        <w:contextualSpacing/>
        <w:rPr>
          <w:rFonts w:ascii="宋体" w:cs="宋体"/>
          <w:color w:val="auto"/>
          <w:kern w:val="0"/>
          <w:sz w:val="28"/>
          <w:szCs w:val="28"/>
          <w:highlight w:val="none"/>
        </w:rPr>
      </w:pPr>
      <w:r>
        <w:rPr>
          <w:rFonts w:hint="eastAsia" w:ascii="宋体" w:hAnsi="宋体" w:cs="宋体"/>
          <w:color w:val="auto"/>
          <w:kern w:val="0"/>
          <w:sz w:val="28"/>
          <w:szCs w:val="28"/>
          <w:highlight w:val="none"/>
        </w:rPr>
        <w:t>原料氯气、离子膜碱采用管道输送至本项目生产装置。</w:t>
      </w:r>
    </w:p>
    <w:p>
      <w:pPr>
        <w:spacing w:line="560" w:lineRule="exact"/>
        <w:ind w:firstLine="560" w:firstLineChars="200"/>
        <w:contextualSpacing/>
        <w:rPr>
          <w:rFonts w:ascii="宋体" w:cs="宋体"/>
          <w:color w:val="auto"/>
          <w:kern w:val="0"/>
          <w:sz w:val="28"/>
          <w:szCs w:val="28"/>
          <w:highlight w:val="none"/>
        </w:rPr>
      </w:pPr>
      <w:bookmarkStart w:id="430" w:name="_Toc17879_WPSOffice_Level2"/>
      <w:bookmarkStart w:id="431" w:name="_Toc14417"/>
      <w:bookmarkStart w:id="432" w:name="_Toc21455_WPSOffice_Level2"/>
      <w:bookmarkStart w:id="433" w:name="_Toc339_WPSOffice_Level2"/>
      <w:bookmarkStart w:id="434" w:name="_Toc19122"/>
      <w:bookmarkStart w:id="435" w:name="_Toc7588_WPSOffice_Level2"/>
      <w:bookmarkStart w:id="436" w:name="_Toc17358"/>
      <w:r>
        <w:rPr>
          <w:rFonts w:hint="eastAsia" w:ascii="宋体" w:hAnsi="宋体" w:cs="宋体"/>
          <w:color w:val="auto"/>
          <w:kern w:val="0"/>
          <w:sz w:val="28"/>
          <w:szCs w:val="28"/>
          <w:highlight w:val="none"/>
        </w:rPr>
        <w:t>本项目装置现场在</w:t>
      </w:r>
      <w:r>
        <w:rPr>
          <w:rFonts w:hint="eastAsia" w:ascii="宋体" w:hAnsi="宋体" w:cs="宋体"/>
          <w:color w:val="auto"/>
          <w:kern w:val="0"/>
          <w:sz w:val="28"/>
          <w:szCs w:val="28"/>
          <w:highlight w:val="none"/>
          <w:lang w:val="en-US" w:eastAsia="zh-CN"/>
        </w:rPr>
        <w:t>次氯酸钠</w:t>
      </w:r>
      <w:r>
        <w:rPr>
          <w:rFonts w:hint="eastAsia" w:ascii="宋体" w:hAnsi="宋体" w:cs="宋体"/>
          <w:color w:val="auto"/>
          <w:kern w:val="0"/>
          <w:sz w:val="28"/>
          <w:szCs w:val="28"/>
          <w:highlight w:val="none"/>
        </w:rPr>
        <w:t>生产装置北侧设置</w:t>
      </w:r>
      <w:r>
        <w:rPr>
          <w:rFonts w:hint="eastAsia" w:ascii="宋体" w:hAnsi="宋体" w:cs="宋体"/>
          <w:color w:val="auto"/>
          <w:kern w:val="0"/>
          <w:sz w:val="28"/>
          <w:szCs w:val="28"/>
          <w:highlight w:val="none"/>
          <w:lang w:val="en-US" w:eastAsia="zh-CN"/>
        </w:rPr>
        <w:t>次氯酸钠</w:t>
      </w:r>
      <w:r>
        <w:rPr>
          <w:rFonts w:hint="eastAsia" w:ascii="宋体" w:hAnsi="宋体" w:cs="宋体"/>
          <w:color w:val="auto"/>
          <w:kern w:val="0"/>
          <w:sz w:val="28"/>
          <w:szCs w:val="28"/>
          <w:highlight w:val="none"/>
        </w:rPr>
        <w:t>缓冲罐（90m³，缓存8h），次氯酸钠产品通过泵输送至现有</w:t>
      </w:r>
      <w:r>
        <w:rPr>
          <w:rFonts w:hint="eastAsia" w:ascii="宋体" w:hAnsi="宋体" w:cs="宋体"/>
          <w:color w:val="auto"/>
          <w:kern w:val="0"/>
          <w:sz w:val="28"/>
          <w:szCs w:val="28"/>
          <w:highlight w:val="none"/>
          <w:lang w:val="en-US" w:eastAsia="zh-CN"/>
        </w:rPr>
        <w:t>次氯酸钠</w:t>
      </w:r>
      <w:r>
        <w:rPr>
          <w:rFonts w:hint="eastAsia" w:ascii="宋体" w:hAnsi="宋体" w:cs="宋体"/>
          <w:color w:val="auto"/>
          <w:kern w:val="0"/>
          <w:sz w:val="28"/>
          <w:szCs w:val="28"/>
          <w:highlight w:val="none"/>
        </w:rPr>
        <w:t>成品罐区（200m³）储存；次氯酸钠产品采用液体罐车方式运输至用户。</w:t>
      </w:r>
    </w:p>
    <w:p>
      <w:pPr>
        <w:pStyle w:val="32"/>
        <w:spacing w:line="560" w:lineRule="exact"/>
        <w:ind w:firstLine="31680"/>
        <w:jc w:val="left"/>
        <w:outlineLvl w:val="1"/>
        <w:rPr>
          <w:rFonts w:ascii="宋体" w:cs="宋体"/>
          <w:bCs/>
          <w:color w:val="auto"/>
          <w:sz w:val="28"/>
          <w:szCs w:val="28"/>
          <w:highlight w:val="none"/>
        </w:rPr>
      </w:pPr>
      <w:bookmarkStart w:id="437" w:name="_Toc21091"/>
      <w:bookmarkStart w:id="438" w:name="_Toc630"/>
      <w:r>
        <w:rPr>
          <w:rStyle w:val="43"/>
          <w:rFonts w:ascii="宋体" w:hAnsi="宋体" w:eastAsia="宋体" w:cs="宋体"/>
          <w:bCs/>
          <w:color w:val="auto"/>
          <w:sz w:val="28"/>
          <w:szCs w:val="28"/>
          <w:highlight w:val="none"/>
        </w:rPr>
        <w:t>7.3</w:t>
      </w:r>
      <w:r>
        <w:rPr>
          <w:rStyle w:val="43"/>
          <w:rFonts w:hint="eastAsia" w:ascii="宋体" w:hAnsi="宋体" w:eastAsia="宋体" w:cs="宋体"/>
          <w:bCs/>
          <w:color w:val="auto"/>
          <w:sz w:val="28"/>
          <w:szCs w:val="28"/>
          <w:highlight w:val="none"/>
        </w:rPr>
        <w:t>土建</w:t>
      </w:r>
      <w:bookmarkEnd w:id="430"/>
      <w:bookmarkEnd w:id="431"/>
      <w:bookmarkEnd w:id="432"/>
      <w:bookmarkEnd w:id="433"/>
      <w:bookmarkEnd w:id="434"/>
      <w:bookmarkEnd w:id="435"/>
      <w:bookmarkEnd w:id="436"/>
      <w:bookmarkEnd w:id="437"/>
      <w:bookmarkEnd w:id="438"/>
    </w:p>
    <w:p>
      <w:pPr>
        <w:pStyle w:val="32"/>
        <w:spacing w:line="560" w:lineRule="exact"/>
        <w:ind w:firstLine="31680"/>
        <w:jc w:val="left"/>
        <w:outlineLvl w:val="2"/>
        <w:rPr>
          <w:rFonts w:ascii="宋体" w:cs="宋体"/>
          <w:bCs/>
          <w:color w:val="auto"/>
          <w:sz w:val="28"/>
          <w:szCs w:val="28"/>
          <w:highlight w:val="none"/>
        </w:rPr>
      </w:pPr>
      <w:bookmarkStart w:id="439" w:name="_Toc4739"/>
      <w:r>
        <w:rPr>
          <w:rStyle w:val="43"/>
          <w:rFonts w:ascii="宋体" w:hAnsi="宋体" w:eastAsia="宋体" w:cs="宋体"/>
          <w:bCs/>
          <w:color w:val="auto"/>
          <w:sz w:val="28"/>
          <w:szCs w:val="28"/>
          <w:highlight w:val="none"/>
        </w:rPr>
        <w:t>7.3.1</w:t>
      </w:r>
      <w:r>
        <w:rPr>
          <w:rStyle w:val="43"/>
          <w:rFonts w:hint="eastAsia" w:ascii="宋体" w:hAnsi="宋体" w:eastAsia="宋体" w:cs="宋体"/>
          <w:bCs/>
          <w:color w:val="auto"/>
          <w:sz w:val="28"/>
          <w:szCs w:val="28"/>
          <w:highlight w:val="none"/>
        </w:rPr>
        <w:t>设计依据</w:t>
      </w:r>
      <w:bookmarkEnd w:id="439"/>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1</w:t>
      </w:r>
      <w:r>
        <w:rPr>
          <w:rFonts w:hint="eastAsia" w:ascii="宋体" w:hAnsi="宋体" w:cs="宋体"/>
          <w:bCs/>
          <w:color w:val="auto"/>
          <w:sz w:val="28"/>
          <w:szCs w:val="28"/>
          <w:highlight w:val="none"/>
        </w:rPr>
        <w:t>）气象资料见第六章</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）基本风压：</w:t>
      </w:r>
      <w:r>
        <w:rPr>
          <w:rFonts w:ascii="宋体" w:hAnsi="宋体" w:cs="宋体"/>
          <w:bCs/>
          <w:color w:val="auto"/>
          <w:sz w:val="28"/>
          <w:szCs w:val="28"/>
          <w:highlight w:val="none"/>
        </w:rPr>
        <w:t xml:space="preserve">0.45 kPa </w:t>
      </w:r>
      <w:r>
        <w:rPr>
          <w:rFonts w:hint="eastAsia" w:ascii="宋体" w:hAnsi="宋体" w:cs="宋体"/>
          <w:bCs/>
          <w:color w:val="auto"/>
          <w:sz w:val="28"/>
          <w:szCs w:val="28"/>
          <w:highlight w:val="none"/>
        </w:rPr>
        <w:t>。基本雪压：</w:t>
      </w:r>
      <w:r>
        <w:rPr>
          <w:rFonts w:ascii="宋体" w:hAnsi="宋体" w:cs="宋体"/>
          <w:bCs/>
          <w:color w:val="auto"/>
          <w:sz w:val="28"/>
          <w:szCs w:val="28"/>
          <w:highlight w:val="none"/>
        </w:rPr>
        <w:t xml:space="preserve">0.40 kPa </w:t>
      </w:r>
      <w:r>
        <w:rPr>
          <w:rFonts w:hint="eastAsia" w:ascii="宋体" w:hAnsi="宋体" w:cs="宋体"/>
          <w:bCs/>
          <w:color w:val="auto"/>
          <w:sz w:val="28"/>
          <w:szCs w:val="28"/>
          <w:highlight w:val="none"/>
        </w:rPr>
        <w:t>。</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3</w:t>
      </w:r>
      <w:r>
        <w:rPr>
          <w:rFonts w:hint="eastAsia" w:ascii="宋体" w:hAnsi="宋体" w:cs="宋体"/>
          <w:bCs/>
          <w:color w:val="auto"/>
          <w:sz w:val="28"/>
          <w:szCs w:val="28"/>
          <w:highlight w:val="none"/>
        </w:rPr>
        <w:t>）地震设防烈度：</w:t>
      </w:r>
      <w:r>
        <w:rPr>
          <w:rFonts w:ascii="宋体" w:hAnsi="宋体" w:cs="宋体"/>
          <w:bCs/>
          <w:color w:val="auto"/>
          <w:sz w:val="28"/>
          <w:szCs w:val="28"/>
          <w:highlight w:val="none"/>
        </w:rPr>
        <w:t>7</w:t>
      </w:r>
      <w:r>
        <w:rPr>
          <w:rFonts w:hint="eastAsia" w:ascii="宋体" w:hAnsi="宋体" w:cs="宋体"/>
          <w:bCs/>
          <w:color w:val="auto"/>
          <w:sz w:val="28"/>
          <w:szCs w:val="28"/>
          <w:highlight w:val="none"/>
        </w:rPr>
        <w:t>度</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4</w:t>
      </w:r>
      <w:r>
        <w:rPr>
          <w:rFonts w:hint="eastAsia" w:ascii="宋体" w:hAnsi="宋体" w:cs="宋体"/>
          <w:bCs/>
          <w:color w:val="auto"/>
          <w:sz w:val="28"/>
          <w:szCs w:val="28"/>
          <w:highlight w:val="none"/>
        </w:rPr>
        <w:t>）标准规范：国家或行业标准规范。</w:t>
      </w:r>
    </w:p>
    <w:p>
      <w:pPr>
        <w:pStyle w:val="32"/>
        <w:spacing w:line="560" w:lineRule="exact"/>
        <w:ind w:firstLine="31680"/>
        <w:jc w:val="left"/>
        <w:outlineLvl w:val="1"/>
        <w:rPr>
          <w:rStyle w:val="43"/>
          <w:rFonts w:ascii="宋体" w:hAnsi="Calibri" w:eastAsia="宋体" w:cs="宋体"/>
          <w:bCs/>
          <w:color w:val="auto"/>
          <w:sz w:val="28"/>
          <w:szCs w:val="28"/>
          <w:highlight w:val="none"/>
        </w:rPr>
      </w:pPr>
      <w:bookmarkStart w:id="440" w:name="_Toc17869"/>
      <w:bookmarkStart w:id="441" w:name="_Toc26410"/>
      <w:bookmarkStart w:id="442" w:name="_Toc16740"/>
      <w:bookmarkStart w:id="443" w:name="_Toc23079"/>
      <w:bookmarkStart w:id="444" w:name="_Toc14841"/>
      <w:bookmarkStart w:id="445" w:name="_Toc5583"/>
      <w:r>
        <w:rPr>
          <w:rStyle w:val="43"/>
          <w:rFonts w:ascii="宋体" w:hAnsi="宋体" w:eastAsia="宋体" w:cs="宋体"/>
          <w:bCs/>
          <w:color w:val="auto"/>
          <w:sz w:val="28"/>
          <w:szCs w:val="28"/>
          <w:highlight w:val="none"/>
        </w:rPr>
        <w:t>7.3.2</w:t>
      </w:r>
      <w:r>
        <w:rPr>
          <w:rStyle w:val="43"/>
          <w:rFonts w:hint="eastAsia" w:ascii="宋体" w:hAnsi="宋体" w:eastAsia="宋体" w:cs="宋体"/>
          <w:bCs/>
          <w:color w:val="auto"/>
          <w:sz w:val="28"/>
          <w:szCs w:val="28"/>
          <w:highlight w:val="none"/>
        </w:rPr>
        <w:t>地基与基础</w:t>
      </w:r>
      <w:bookmarkEnd w:id="440"/>
      <w:bookmarkEnd w:id="441"/>
      <w:bookmarkEnd w:id="442"/>
      <w:bookmarkEnd w:id="443"/>
      <w:bookmarkEnd w:id="444"/>
      <w:bookmarkEnd w:id="445"/>
    </w:p>
    <w:p>
      <w:pPr>
        <w:pStyle w:val="32"/>
        <w:spacing w:line="560" w:lineRule="exact"/>
        <w:ind w:firstLine="31680"/>
        <w:jc w:val="left"/>
        <w:outlineLvl w:val="1"/>
        <w:rPr>
          <w:rFonts w:ascii="宋体" w:cs="宋体"/>
          <w:bCs/>
          <w:color w:val="auto"/>
          <w:sz w:val="28"/>
          <w:szCs w:val="28"/>
          <w:highlight w:val="none"/>
        </w:rPr>
      </w:pPr>
      <w:bookmarkStart w:id="446" w:name="_Toc4263"/>
      <w:bookmarkStart w:id="447" w:name="_Toc2989"/>
      <w:bookmarkStart w:id="448" w:name="_Toc4100"/>
      <w:bookmarkStart w:id="449" w:name="_Toc29971"/>
      <w:bookmarkStart w:id="450" w:name="_Toc32220"/>
      <w:r>
        <w:rPr>
          <w:rFonts w:hint="eastAsia" w:ascii="宋体" w:hAnsi="宋体" w:cs="宋体"/>
          <w:bCs/>
          <w:color w:val="auto"/>
          <w:sz w:val="28"/>
          <w:szCs w:val="28"/>
          <w:highlight w:val="none"/>
        </w:rPr>
        <w:t>本项目为</w:t>
      </w:r>
      <w:r>
        <w:rPr>
          <w:rFonts w:hint="eastAsia" w:ascii="宋体" w:hAnsi="宋体" w:cs="宋体"/>
          <w:bCs/>
          <w:color w:val="auto"/>
          <w:kern w:val="0"/>
          <w:sz w:val="28"/>
          <w:szCs w:val="28"/>
          <w:highlight w:val="none"/>
        </w:rPr>
        <w:t>江苏索普新材料科技有限公司</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年次氯酸钠项目</w:t>
      </w:r>
      <w:r>
        <w:rPr>
          <w:rFonts w:hint="eastAsia" w:ascii="宋体" w:hAnsi="宋体" w:cs="宋体"/>
          <w:color w:val="auto"/>
          <w:sz w:val="28"/>
          <w:szCs w:val="28"/>
          <w:highlight w:val="none"/>
        </w:rPr>
        <w:t>生产装置</w:t>
      </w:r>
      <w:r>
        <w:rPr>
          <w:rFonts w:hint="eastAsia" w:ascii="宋体" w:hAnsi="宋体" w:cs="宋体"/>
          <w:bCs/>
          <w:color w:val="auto"/>
          <w:sz w:val="28"/>
          <w:szCs w:val="28"/>
          <w:highlight w:val="none"/>
        </w:rPr>
        <w:t>，现有场地地基满足本项目需要，设备安装按功能或介质就近布置。</w:t>
      </w:r>
      <w:bookmarkEnd w:id="446"/>
      <w:bookmarkEnd w:id="447"/>
      <w:bookmarkEnd w:id="448"/>
      <w:bookmarkEnd w:id="449"/>
      <w:bookmarkEnd w:id="450"/>
    </w:p>
    <w:p>
      <w:pPr>
        <w:pStyle w:val="32"/>
        <w:spacing w:line="560" w:lineRule="exact"/>
        <w:ind w:firstLine="31680"/>
        <w:jc w:val="left"/>
        <w:outlineLvl w:val="2"/>
        <w:rPr>
          <w:rFonts w:ascii="宋体" w:cs="宋体"/>
          <w:bCs/>
          <w:color w:val="auto"/>
          <w:sz w:val="28"/>
          <w:szCs w:val="28"/>
          <w:highlight w:val="none"/>
        </w:rPr>
      </w:pPr>
      <w:bookmarkStart w:id="451" w:name="_Toc16178"/>
      <w:r>
        <w:rPr>
          <w:rStyle w:val="43"/>
          <w:rFonts w:ascii="宋体" w:hAnsi="宋体" w:eastAsia="宋体" w:cs="宋体"/>
          <w:bCs/>
          <w:color w:val="auto"/>
          <w:sz w:val="28"/>
          <w:szCs w:val="28"/>
          <w:highlight w:val="none"/>
        </w:rPr>
        <w:t>7.3.3</w:t>
      </w:r>
      <w:r>
        <w:rPr>
          <w:rStyle w:val="43"/>
          <w:rFonts w:hint="eastAsia" w:ascii="宋体" w:hAnsi="宋体" w:eastAsia="宋体" w:cs="宋体"/>
          <w:bCs/>
          <w:color w:val="auto"/>
          <w:sz w:val="28"/>
          <w:szCs w:val="28"/>
          <w:highlight w:val="none"/>
        </w:rPr>
        <w:t>建筑设计</w:t>
      </w:r>
      <w:bookmarkEnd w:id="451"/>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1</w:t>
      </w:r>
      <w:r>
        <w:rPr>
          <w:rFonts w:hint="eastAsia" w:ascii="宋体" w:hAnsi="宋体" w:cs="宋体"/>
          <w:bCs/>
          <w:color w:val="auto"/>
          <w:sz w:val="28"/>
          <w:szCs w:val="28"/>
          <w:highlight w:val="none"/>
        </w:rPr>
        <w:t>）本项目为</w:t>
      </w:r>
      <w:r>
        <w:rPr>
          <w:rFonts w:hint="eastAsia" w:ascii="宋体" w:hAnsi="宋体" w:cs="宋体"/>
          <w:bCs/>
          <w:color w:val="auto"/>
          <w:kern w:val="0"/>
          <w:sz w:val="28"/>
          <w:szCs w:val="28"/>
          <w:highlight w:val="none"/>
        </w:rPr>
        <w:t>江苏索普新材料科技有限公司</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年次氯酸钠项目</w:t>
      </w:r>
      <w:r>
        <w:rPr>
          <w:rFonts w:hint="eastAsia" w:ascii="宋体" w:hAnsi="宋体" w:cs="宋体"/>
          <w:color w:val="auto"/>
          <w:sz w:val="28"/>
          <w:szCs w:val="28"/>
          <w:highlight w:val="none"/>
        </w:rPr>
        <w:t>生产装置</w:t>
      </w:r>
      <w:r>
        <w:rPr>
          <w:rFonts w:hint="eastAsia" w:ascii="宋体" w:hAnsi="宋体" w:cs="宋体"/>
          <w:bCs/>
          <w:color w:val="auto"/>
          <w:sz w:val="28"/>
          <w:szCs w:val="28"/>
          <w:highlight w:val="none"/>
        </w:rPr>
        <w:t>。</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）根据生产特点，现场防火、防爆、防腐符合相关设计，满足保证安全生产需要。</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3</w:t>
      </w:r>
      <w:r>
        <w:rPr>
          <w:rFonts w:hint="eastAsia" w:ascii="宋体" w:hAnsi="宋体" w:cs="宋体"/>
          <w:bCs/>
          <w:color w:val="auto"/>
          <w:sz w:val="28"/>
          <w:szCs w:val="28"/>
          <w:highlight w:val="none"/>
        </w:rPr>
        <w:t>）建筑构造和装修，采用当地通用做法或习惯做法，做到简洁实用，方便施工。</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4</w:t>
      </w:r>
      <w:r>
        <w:rPr>
          <w:rFonts w:hint="eastAsia" w:ascii="宋体" w:hAnsi="宋体" w:cs="宋体"/>
          <w:bCs/>
          <w:color w:val="auto"/>
          <w:sz w:val="28"/>
          <w:szCs w:val="28"/>
          <w:highlight w:val="none"/>
        </w:rPr>
        <w:t>）建筑设计遵循的标准、规范</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《建筑地基基础设计规范》</w:t>
      </w:r>
      <w:r>
        <w:rPr>
          <w:rFonts w:ascii="宋体" w:hAnsi="宋体" w:cs="宋体"/>
          <w:bCs/>
          <w:color w:val="auto"/>
          <w:sz w:val="28"/>
          <w:szCs w:val="28"/>
          <w:highlight w:val="none"/>
        </w:rPr>
        <w:t xml:space="preserve"> DB33/T 1136-2017</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《混凝土结构设计规范》（</w:t>
      </w:r>
      <w:r>
        <w:rPr>
          <w:rFonts w:ascii="宋体" w:hAnsi="宋体" w:cs="宋体"/>
          <w:bCs/>
          <w:color w:val="auto"/>
          <w:sz w:val="28"/>
          <w:szCs w:val="28"/>
          <w:highlight w:val="none"/>
        </w:rPr>
        <w:t>2015</w:t>
      </w:r>
      <w:r>
        <w:rPr>
          <w:rFonts w:hint="eastAsia" w:ascii="宋体" w:hAnsi="宋体" w:cs="宋体"/>
          <w:bCs/>
          <w:color w:val="auto"/>
          <w:sz w:val="28"/>
          <w:szCs w:val="28"/>
          <w:highlight w:val="none"/>
        </w:rPr>
        <w:t>年版）</w:t>
      </w:r>
      <w:r>
        <w:rPr>
          <w:rFonts w:ascii="宋体" w:hAnsi="宋体" w:cs="宋体"/>
          <w:bCs/>
          <w:color w:val="auto"/>
          <w:sz w:val="28"/>
          <w:szCs w:val="28"/>
          <w:highlight w:val="none"/>
        </w:rPr>
        <w:t>GB50010-2010</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《建筑结构荷载规范》</w:t>
      </w:r>
      <w:r>
        <w:rPr>
          <w:rFonts w:ascii="宋体" w:hAnsi="宋体" w:cs="宋体"/>
          <w:bCs/>
          <w:color w:val="auto"/>
          <w:sz w:val="28"/>
          <w:szCs w:val="28"/>
          <w:highlight w:val="none"/>
        </w:rPr>
        <w:t>GB50009-2012</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《建筑抗震设计规范（附条文说明）》（</w:t>
      </w:r>
      <w:r>
        <w:rPr>
          <w:rFonts w:ascii="宋体" w:hAnsi="宋体" w:cs="宋体"/>
          <w:bCs/>
          <w:color w:val="auto"/>
          <w:sz w:val="28"/>
          <w:szCs w:val="28"/>
          <w:highlight w:val="none"/>
        </w:rPr>
        <w:t>2016</w:t>
      </w:r>
      <w:r>
        <w:rPr>
          <w:rFonts w:hint="eastAsia" w:ascii="宋体" w:hAnsi="宋体" w:cs="宋体"/>
          <w:bCs/>
          <w:color w:val="auto"/>
          <w:sz w:val="28"/>
          <w:szCs w:val="28"/>
          <w:highlight w:val="none"/>
        </w:rPr>
        <w:t>年版）</w:t>
      </w:r>
      <w:r>
        <w:rPr>
          <w:rFonts w:ascii="宋体" w:hAnsi="宋体" w:cs="宋体"/>
          <w:bCs/>
          <w:color w:val="auto"/>
          <w:sz w:val="28"/>
          <w:szCs w:val="28"/>
          <w:highlight w:val="none"/>
        </w:rPr>
        <w:t>GB50011-2010</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《构筑物抗震设计规范》</w:t>
      </w:r>
      <w:r>
        <w:rPr>
          <w:rFonts w:ascii="宋体" w:hAnsi="宋体" w:cs="宋体"/>
          <w:bCs/>
          <w:color w:val="auto"/>
          <w:sz w:val="28"/>
          <w:szCs w:val="28"/>
          <w:highlight w:val="none"/>
        </w:rPr>
        <w:t>GB50191-2012</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设计选用标准图以现行江苏省标准图为主，部分采用现行国家标准图。</w:t>
      </w:r>
    </w:p>
    <w:p>
      <w:pPr>
        <w:pStyle w:val="32"/>
        <w:spacing w:line="560" w:lineRule="exact"/>
        <w:ind w:firstLine="31680"/>
        <w:jc w:val="left"/>
        <w:outlineLvl w:val="2"/>
        <w:rPr>
          <w:rStyle w:val="43"/>
          <w:rFonts w:ascii="宋体" w:hAnsi="Calibri" w:eastAsia="宋体" w:cs="宋体"/>
          <w:bCs/>
          <w:color w:val="auto"/>
          <w:sz w:val="28"/>
          <w:szCs w:val="28"/>
          <w:highlight w:val="none"/>
        </w:rPr>
      </w:pPr>
      <w:bookmarkStart w:id="452" w:name="_Toc21545"/>
      <w:r>
        <w:rPr>
          <w:rStyle w:val="43"/>
          <w:rFonts w:ascii="宋体" w:hAnsi="宋体" w:eastAsia="宋体" w:cs="宋体"/>
          <w:bCs/>
          <w:color w:val="auto"/>
          <w:sz w:val="28"/>
          <w:szCs w:val="28"/>
          <w:highlight w:val="none"/>
        </w:rPr>
        <w:t>7.3.4</w:t>
      </w:r>
      <w:r>
        <w:rPr>
          <w:rStyle w:val="43"/>
          <w:rFonts w:hint="eastAsia" w:ascii="宋体" w:hAnsi="宋体" w:eastAsia="宋体" w:cs="宋体"/>
          <w:bCs/>
          <w:color w:val="auto"/>
          <w:sz w:val="28"/>
          <w:szCs w:val="28"/>
          <w:highlight w:val="none"/>
        </w:rPr>
        <w:t>结构设计</w:t>
      </w:r>
      <w:bookmarkEnd w:id="452"/>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1</w:t>
      </w:r>
      <w:r>
        <w:rPr>
          <w:rFonts w:hint="eastAsia" w:ascii="宋体" w:hAnsi="宋体" w:cs="宋体"/>
          <w:bCs/>
          <w:color w:val="auto"/>
          <w:sz w:val="28"/>
          <w:szCs w:val="28"/>
          <w:highlight w:val="none"/>
        </w:rPr>
        <w:t>）本项目结构布置、结构选型及结构处理满足施工、生产和使用要求，保证足够的强度、刚度、稳定性和耐久性，技术先进、经济合理、施工方便、构造简单。</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）本项目结构选型已充分考虑工艺特点、设备管道布置、功能要求、设备荷重、柱网尺寸、防腐防火、当地习惯等因素。</w:t>
      </w:r>
    </w:p>
    <w:p>
      <w:pPr>
        <w:pStyle w:val="32"/>
        <w:spacing w:line="560" w:lineRule="exact"/>
        <w:ind w:firstLine="31680"/>
        <w:jc w:val="left"/>
        <w:outlineLvl w:val="2"/>
        <w:rPr>
          <w:rStyle w:val="43"/>
          <w:rFonts w:ascii="宋体" w:hAnsi="Calibri" w:eastAsia="宋体" w:cs="宋体"/>
          <w:bCs/>
          <w:color w:val="auto"/>
          <w:sz w:val="28"/>
          <w:szCs w:val="28"/>
          <w:highlight w:val="none"/>
        </w:rPr>
      </w:pPr>
      <w:r>
        <w:rPr>
          <w:rStyle w:val="43"/>
          <w:rFonts w:ascii="宋体" w:hAnsi="宋体" w:eastAsia="宋体" w:cs="宋体"/>
          <w:bCs/>
          <w:color w:val="auto"/>
          <w:sz w:val="28"/>
          <w:szCs w:val="28"/>
          <w:highlight w:val="none"/>
        </w:rPr>
        <w:t>7.3.5</w:t>
      </w:r>
      <w:r>
        <w:rPr>
          <w:rStyle w:val="43"/>
          <w:rFonts w:hint="eastAsia" w:ascii="宋体" w:hAnsi="宋体" w:eastAsia="宋体" w:cs="宋体"/>
          <w:bCs/>
          <w:color w:val="auto"/>
          <w:sz w:val="28"/>
          <w:szCs w:val="28"/>
          <w:highlight w:val="none"/>
        </w:rPr>
        <w:t>生活设施</w:t>
      </w:r>
    </w:p>
    <w:p>
      <w:pPr>
        <w:spacing w:line="560" w:lineRule="exact"/>
        <w:ind w:firstLine="560" w:firstLineChars="200"/>
        <w:jc w:val="left"/>
        <w:rPr>
          <w:rFonts w:ascii="宋体" w:cs="宋体"/>
          <w:bCs/>
          <w:color w:val="auto"/>
          <w:sz w:val="28"/>
          <w:szCs w:val="28"/>
          <w:highlight w:val="none"/>
        </w:rPr>
      </w:pPr>
      <w:r>
        <w:rPr>
          <w:rFonts w:hint="eastAsia" w:ascii="宋体" w:hAnsi="宋体" w:cs="宋体"/>
          <w:color w:val="auto"/>
          <w:sz w:val="28"/>
          <w:szCs w:val="28"/>
          <w:highlight w:val="none"/>
        </w:rPr>
        <w:t>江苏索普新材料科技有限公司</w:t>
      </w:r>
      <w:r>
        <w:rPr>
          <w:rFonts w:hint="eastAsia" w:ascii="宋体" w:hAnsi="宋体" w:cs="宋体"/>
          <w:bCs/>
          <w:color w:val="auto"/>
          <w:sz w:val="28"/>
          <w:szCs w:val="28"/>
          <w:highlight w:val="none"/>
        </w:rPr>
        <w:t>已有必要的生活福利设施，本项目不另行增设。</w:t>
      </w:r>
    </w:p>
    <w:p>
      <w:pPr>
        <w:pStyle w:val="32"/>
        <w:spacing w:line="560" w:lineRule="exact"/>
        <w:ind w:firstLine="31680"/>
        <w:jc w:val="left"/>
        <w:outlineLvl w:val="2"/>
        <w:rPr>
          <w:rStyle w:val="43"/>
          <w:rFonts w:ascii="宋体" w:hAnsi="Calibri" w:eastAsia="宋体" w:cs="宋体"/>
          <w:bCs/>
          <w:color w:val="auto"/>
          <w:sz w:val="28"/>
          <w:szCs w:val="28"/>
          <w:highlight w:val="none"/>
        </w:rPr>
      </w:pPr>
      <w:r>
        <w:rPr>
          <w:rStyle w:val="43"/>
          <w:rFonts w:ascii="宋体" w:hAnsi="宋体" w:eastAsia="宋体" w:cs="宋体"/>
          <w:bCs/>
          <w:color w:val="auto"/>
          <w:sz w:val="28"/>
          <w:szCs w:val="28"/>
          <w:highlight w:val="none"/>
        </w:rPr>
        <w:t>7.3.6</w:t>
      </w:r>
      <w:r>
        <w:rPr>
          <w:rStyle w:val="43"/>
          <w:rFonts w:hint="eastAsia" w:ascii="宋体" w:hAnsi="宋体" w:eastAsia="宋体" w:cs="宋体"/>
          <w:bCs/>
          <w:color w:val="auto"/>
          <w:sz w:val="28"/>
          <w:szCs w:val="28"/>
          <w:highlight w:val="none"/>
        </w:rPr>
        <w:t>本项目用地</w:t>
      </w:r>
    </w:p>
    <w:p>
      <w:pPr>
        <w:spacing w:line="560" w:lineRule="exact"/>
        <w:ind w:firstLine="480" w:firstLineChars="200"/>
        <w:jc w:val="center"/>
        <w:outlineLvl w:val="0"/>
        <w:rPr>
          <w:rFonts w:ascii="宋体"/>
          <w:color w:val="auto"/>
          <w:sz w:val="24"/>
          <w:highlight w:val="none"/>
        </w:rPr>
      </w:pPr>
      <w:bookmarkStart w:id="453" w:name="_Toc5282"/>
      <w:bookmarkStart w:id="454" w:name="_Toc32056"/>
      <w:bookmarkStart w:id="455" w:name="_Toc31460"/>
      <w:bookmarkStart w:id="456" w:name="_Toc29033"/>
      <w:bookmarkStart w:id="457" w:name="_Toc21469"/>
      <w:r>
        <w:rPr>
          <w:rFonts w:hint="eastAsia" w:ascii="宋体"/>
          <w:color w:val="auto"/>
          <w:sz w:val="24"/>
          <w:highlight w:val="none"/>
        </w:rPr>
        <w:t>主要建构筑物一览表</w:t>
      </w:r>
      <w:bookmarkEnd w:id="453"/>
      <w:bookmarkEnd w:id="454"/>
      <w:bookmarkEnd w:id="455"/>
      <w:bookmarkEnd w:id="456"/>
      <w:bookmarkEnd w:id="457"/>
    </w:p>
    <w:tbl>
      <w:tblPr>
        <w:tblStyle w:val="16"/>
        <w:tblW w:w="5000" w:type="pct"/>
        <w:tblInd w:w="0" w:type="dxa"/>
        <w:tblLayout w:type="fixed"/>
        <w:tblCellMar>
          <w:top w:w="0" w:type="dxa"/>
          <w:left w:w="108" w:type="dxa"/>
          <w:bottom w:w="0" w:type="dxa"/>
          <w:right w:w="108" w:type="dxa"/>
        </w:tblCellMar>
      </w:tblPr>
      <w:tblGrid>
        <w:gridCol w:w="543"/>
        <w:gridCol w:w="1947"/>
        <w:gridCol w:w="1139"/>
        <w:gridCol w:w="1200"/>
        <w:gridCol w:w="735"/>
        <w:gridCol w:w="689"/>
        <w:gridCol w:w="992"/>
        <w:gridCol w:w="735"/>
        <w:gridCol w:w="542"/>
      </w:tblGrid>
      <w:tr>
        <w:trPr>
          <w:trHeight w:val="567" w:hRule="atLeast"/>
        </w:trPr>
        <w:tc>
          <w:tcPr>
            <w:tcW w:w="31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序号</w:t>
            </w:r>
          </w:p>
        </w:tc>
        <w:tc>
          <w:tcPr>
            <w:tcW w:w="1141"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项目名称</w:t>
            </w:r>
          </w:p>
        </w:tc>
        <w:tc>
          <w:tcPr>
            <w:tcW w:w="66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建筑面积</w:t>
            </w:r>
            <w:r>
              <w:rPr>
                <w:rFonts w:ascii="宋体" w:hAnsi="宋体" w:cs="宋体"/>
                <w:color w:val="auto"/>
                <w:kern w:val="0"/>
                <w:szCs w:val="21"/>
                <w:highlight w:val="none"/>
              </w:rPr>
              <w:t>/</w:t>
            </w:r>
            <w:r>
              <w:rPr>
                <w:rFonts w:hint="eastAsia" w:ascii="宋体" w:hAnsi="宋体" w:cs="宋体"/>
                <w:color w:val="auto"/>
                <w:kern w:val="0"/>
                <w:szCs w:val="21"/>
                <w:highlight w:val="none"/>
              </w:rPr>
              <w:t>㎡</w:t>
            </w:r>
          </w:p>
        </w:tc>
        <w:tc>
          <w:tcPr>
            <w:tcW w:w="704"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占地面积</w:t>
            </w:r>
            <w:r>
              <w:rPr>
                <w:rFonts w:ascii="宋体" w:hAnsi="宋体" w:cs="宋体"/>
                <w:color w:val="auto"/>
                <w:kern w:val="0"/>
                <w:szCs w:val="21"/>
                <w:highlight w:val="none"/>
              </w:rPr>
              <w:t>/</w:t>
            </w:r>
            <w:r>
              <w:rPr>
                <w:rFonts w:hint="eastAsia" w:ascii="宋体" w:hAnsi="宋体" w:cs="宋体"/>
                <w:color w:val="auto"/>
                <w:kern w:val="0"/>
                <w:szCs w:val="21"/>
                <w:highlight w:val="none"/>
              </w:rPr>
              <w:t>㎡</w:t>
            </w:r>
          </w:p>
        </w:tc>
        <w:tc>
          <w:tcPr>
            <w:tcW w:w="431"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结构</w:t>
            </w:r>
          </w:p>
        </w:tc>
        <w:tc>
          <w:tcPr>
            <w:tcW w:w="40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层数</w:t>
            </w:r>
          </w:p>
        </w:tc>
        <w:tc>
          <w:tcPr>
            <w:tcW w:w="582"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火灾危险类别</w:t>
            </w:r>
          </w:p>
        </w:tc>
        <w:tc>
          <w:tcPr>
            <w:tcW w:w="431"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耐火等级</w:t>
            </w:r>
          </w:p>
        </w:tc>
        <w:tc>
          <w:tcPr>
            <w:tcW w:w="31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备注</w:t>
            </w:r>
          </w:p>
        </w:tc>
      </w:tr>
      <w:tr>
        <w:tblPrEx>
          <w:tblCellMar>
            <w:top w:w="0" w:type="dxa"/>
            <w:left w:w="108" w:type="dxa"/>
            <w:bottom w:w="0" w:type="dxa"/>
            <w:right w:w="108" w:type="dxa"/>
          </w:tblCellMar>
        </w:tblPrEx>
        <w:trPr>
          <w:trHeight w:val="567" w:hRule="atLeast"/>
        </w:trPr>
        <w:tc>
          <w:tcPr>
            <w:tcW w:w="31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1</w:t>
            </w:r>
          </w:p>
        </w:tc>
        <w:tc>
          <w:tcPr>
            <w:tcW w:w="1141"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8</w:t>
            </w:r>
            <w:r>
              <w:rPr>
                <w:rFonts w:hint="eastAsia" w:ascii="宋体" w:hAnsi="宋体" w:cs="宋体"/>
                <w:color w:val="auto"/>
                <w:kern w:val="0"/>
                <w:szCs w:val="21"/>
                <w:highlight w:val="none"/>
              </w:rPr>
              <w:t>万吨</w:t>
            </w:r>
            <w:r>
              <w:rPr>
                <w:rFonts w:ascii="宋体" w:hAnsi="宋体" w:cs="宋体"/>
                <w:color w:val="auto"/>
                <w:kern w:val="0"/>
                <w:szCs w:val="21"/>
                <w:highlight w:val="none"/>
              </w:rPr>
              <w:t>/</w:t>
            </w:r>
            <w:r>
              <w:rPr>
                <w:rFonts w:hint="eastAsia" w:ascii="宋体" w:hAnsi="宋体" w:cs="宋体"/>
                <w:color w:val="auto"/>
                <w:kern w:val="0"/>
                <w:szCs w:val="21"/>
                <w:highlight w:val="none"/>
              </w:rPr>
              <w:t>年次氯酸钠项目装置</w:t>
            </w:r>
          </w:p>
        </w:tc>
        <w:tc>
          <w:tcPr>
            <w:tcW w:w="66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150</w:t>
            </w:r>
          </w:p>
        </w:tc>
        <w:tc>
          <w:tcPr>
            <w:tcW w:w="704"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450</w:t>
            </w:r>
          </w:p>
        </w:tc>
        <w:tc>
          <w:tcPr>
            <w:tcW w:w="431"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框架</w:t>
            </w:r>
          </w:p>
        </w:tc>
        <w:tc>
          <w:tcPr>
            <w:tcW w:w="404"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3</w:t>
            </w:r>
          </w:p>
        </w:tc>
        <w:tc>
          <w:tcPr>
            <w:tcW w:w="582"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乙类</w:t>
            </w:r>
          </w:p>
        </w:tc>
        <w:tc>
          <w:tcPr>
            <w:tcW w:w="431"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二级</w:t>
            </w:r>
          </w:p>
        </w:tc>
        <w:tc>
          <w:tcPr>
            <w:tcW w:w="31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敞开</w:t>
            </w:r>
          </w:p>
        </w:tc>
      </w:tr>
      <w:tr>
        <w:tblPrEx>
          <w:tblCellMar>
            <w:top w:w="0" w:type="dxa"/>
            <w:left w:w="108" w:type="dxa"/>
            <w:bottom w:w="0" w:type="dxa"/>
            <w:right w:w="108" w:type="dxa"/>
          </w:tblCellMar>
        </w:tblPrEx>
        <w:trPr>
          <w:trHeight w:val="567" w:hRule="atLeast"/>
        </w:trPr>
        <w:tc>
          <w:tcPr>
            <w:tcW w:w="31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p>
        </w:tc>
        <w:tc>
          <w:tcPr>
            <w:tcW w:w="1141"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合计</w:t>
            </w:r>
          </w:p>
        </w:tc>
        <w:tc>
          <w:tcPr>
            <w:tcW w:w="66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150</w:t>
            </w:r>
          </w:p>
        </w:tc>
        <w:tc>
          <w:tcPr>
            <w:tcW w:w="704"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450</w:t>
            </w:r>
          </w:p>
        </w:tc>
        <w:tc>
          <w:tcPr>
            <w:tcW w:w="431"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p>
        </w:tc>
        <w:tc>
          <w:tcPr>
            <w:tcW w:w="404"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p>
        </w:tc>
        <w:tc>
          <w:tcPr>
            <w:tcW w:w="582"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p>
        </w:tc>
        <w:tc>
          <w:tcPr>
            <w:tcW w:w="431"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p>
        </w:tc>
        <w:tc>
          <w:tcPr>
            <w:tcW w:w="31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p>
        </w:tc>
      </w:tr>
    </w:tbl>
    <w:p>
      <w:pPr>
        <w:pStyle w:val="7"/>
        <w:rPr>
          <w:rFonts w:ascii="宋体"/>
          <w:color w:val="auto"/>
          <w:sz w:val="24"/>
          <w:highlight w:val="none"/>
        </w:rPr>
      </w:pPr>
    </w:p>
    <w:p>
      <w:pPr>
        <w:rPr>
          <w:rFonts w:ascii="宋体"/>
          <w:color w:val="auto"/>
          <w:sz w:val="24"/>
          <w:highlight w:val="none"/>
        </w:rPr>
      </w:pPr>
    </w:p>
    <w:p>
      <w:pPr>
        <w:pStyle w:val="7"/>
        <w:rPr>
          <w:rFonts w:ascii="宋体"/>
          <w:color w:val="auto"/>
          <w:sz w:val="24"/>
          <w:highlight w:val="none"/>
        </w:rPr>
      </w:pPr>
    </w:p>
    <w:p>
      <w:pPr>
        <w:rPr>
          <w:color w:val="auto"/>
          <w:highlight w:val="none"/>
        </w:rPr>
      </w:pPr>
    </w:p>
    <w:p>
      <w:pPr>
        <w:pStyle w:val="34"/>
        <w:rPr>
          <w:color w:val="auto"/>
          <w:highlight w:val="none"/>
        </w:rPr>
        <w:sectPr>
          <w:pgSz w:w="11906" w:h="16838"/>
          <w:pgMar w:top="1440" w:right="1800" w:bottom="1440" w:left="1800" w:header="851" w:footer="992" w:gutter="0"/>
          <w:cols w:space="425" w:num="1"/>
          <w:docGrid w:type="lines" w:linePitch="312" w:charSpace="0"/>
        </w:sectPr>
      </w:pPr>
    </w:p>
    <w:p>
      <w:pPr>
        <w:pStyle w:val="2"/>
        <w:spacing w:before="0" w:after="0" w:line="560" w:lineRule="exact"/>
        <w:jc w:val="center"/>
        <w:rPr>
          <w:rFonts w:ascii="宋体" w:cs="宋体"/>
          <w:color w:val="auto"/>
          <w:sz w:val="32"/>
          <w:szCs w:val="32"/>
          <w:highlight w:val="none"/>
          <w:lang w:val="zh-CN"/>
        </w:rPr>
      </w:pPr>
      <w:bookmarkStart w:id="458" w:name="_Toc5246_WPSOffice_Level1"/>
      <w:bookmarkStart w:id="459" w:name="_Toc11353_WPSOffice_Level1"/>
      <w:bookmarkStart w:id="460" w:name="_Toc20754"/>
      <w:bookmarkStart w:id="461" w:name="_Toc24070"/>
      <w:bookmarkStart w:id="462" w:name="_Toc2960_WPSOffice_Level1"/>
      <w:bookmarkStart w:id="463" w:name="_Toc17501_WPSOffice_Level1"/>
      <w:bookmarkStart w:id="464" w:name="_Toc19292"/>
      <w:bookmarkStart w:id="465" w:name="_Toc8947"/>
      <w:bookmarkStart w:id="466" w:name="_Toc27902"/>
      <w:r>
        <w:rPr>
          <w:rFonts w:hint="eastAsia" w:ascii="宋体" w:hAnsi="宋体" w:cs="宋体"/>
          <w:color w:val="auto"/>
          <w:sz w:val="32"/>
          <w:szCs w:val="32"/>
          <w:highlight w:val="none"/>
          <w:lang w:val="zh-CN"/>
        </w:rPr>
        <w:t>第八章</w:t>
      </w:r>
      <w:r>
        <w:rPr>
          <w:rFonts w:ascii="宋体" w:hAnsi="宋体" w:cs="宋体"/>
          <w:color w:val="auto"/>
          <w:sz w:val="32"/>
          <w:szCs w:val="32"/>
          <w:highlight w:val="none"/>
          <w:lang w:val="zh-CN"/>
        </w:rPr>
        <w:t xml:space="preserve"> </w:t>
      </w:r>
      <w:r>
        <w:rPr>
          <w:rFonts w:hint="eastAsia" w:ascii="宋体" w:hAnsi="宋体" w:cs="宋体"/>
          <w:color w:val="auto"/>
          <w:sz w:val="32"/>
          <w:szCs w:val="32"/>
          <w:highlight w:val="none"/>
          <w:lang w:val="zh-CN"/>
        </w:rPr>
        <w:t>公用工程方案及辅助生产设施</w:t>
      </w:r>
      <w:bookmarkEnd w:id="458"/>
      <w:bookmarkEnd w:id="459"/>
      <w:bookmarkEnd w:id="460"/>
      <w:bookmarkEnd w:id="461"/>
      <w:bookmarkEnd w:id="462"/>
      <w:bookmarkEnd w:id="463"/>
      <w:bookmarkEnd w:id="464"/>
      <w:bookmarkEnd w:id="465"/>
      <w:bookmarkEnd w:id="466"/>
    </w:p>
    <w:p>
      <w:pPr>
        <w:pStyle w:val="32"/>
        <w:spacing w:line="560" w:lineRule="exact"/>
        <w:ind w:firstLine="31680"/>
        <w:jc w:val="left"/>
        <w:outlineLvl w:val="1"/>
        <w:rPr>
          <w:rFonts w:ascii="宋体" w:cs="宋体"/>
          <w:bCs/>
          <w:color w:val="auto"/>
          <w:sz w:val="28"/>
          <w:szCs w:val="28"/>
          <w:highlight w:val="none"/>
        </w:rPr>
      </w:pPr>
      <w:bookmarkStart w:id="467" w:name="_Toc30860_WPSOffice_Level2"/>
      <w:bookmarkStart w:id="468" w:name="_Toc438214671"/>
      <w:bookmarkStart w:id="469" w:name="_Toc30369_WPSOffice_Level2"/>
      <w:bookmarkStart w:id="470" w:name="_Toc18505"/>
      <w:bookmarkStart w:id="471" w:name="_Toc7621_WPSOffice_Level2"/>
      <w:bookmarkStart w:id="472" w:name="_Toc8030_WPSOffice_Level2"/>
      <w:bookmarkStart w:id="473" w:name="_Toc18701"/>
      <w:bookmarkStart w:id="474" w:name="_Toc14615"/>
      <w:bookmarkStart w:id="475" w:name="_Toc30854"/>
      <w:bookmarkStart w:id="476" w:name="_Toc18043"/>
      <w:r>
        <w:rPr>
          <w:rFonts w:ascii="宋体" w:hAnsi="宋体" w:cs="宋体"/>
          <w:bCs/>
          <w:color w:val="auto"/>
          <w:sz w:val="28"/>
          <w:szCs w:val="28"/>
          <w:highlight w:val="none"/>
        </w:rPr>
        <w:t xml:space="preserve">8.1 </w:t>
      </w:r>
      <w:r>
        <w:rPr>
          <w:rFonts w:hint="eastAsia" w:ascii="宋体" w:hAnsi="宋体" w:cs="宋体"/>
          <w:bCs/>
          <w:color w:val="auto"/>
          <w:sz w:val="28"/>
          <w:szCs w:val="28"/>
          <w:highlight w:val="none"/>
        </w:rPr>
        <w:t>公用工程方案</w:t>
      </w:r>
      <w:bookmarkEnd w:id="467"/>
      <w:bookmarkEnd w:id="468"/>
      <w:bookmarkEnd w:id="469"/>
      <w:bookmarkEnd w:id="470"/>
      <w:bookmarkEnd w:id="471"/>
      <w:bookmarkEnd w:id="472"/>
      <w:bookmarkEnd w:id="473"/>
      <w:bookmarkEnd w:id="474"/>
      <w:bookmarkEnd w:id="475"/>
      <w:bookmarkEnd w:id="476"/>
    </w:p>
    <w:p>
      <w:pPr>
        <w:pStyle w:val="32"/>
        <w:spacing w:line="560" w:lineRule="exact"/>
        <w:ind w:firstLine="31680"/>
        <w:jc w:val="left"/>
        <w:outlineLvl w:val="1"/>
        <w:rPr>
          <w:rFonts w:ascii="宋体" w:cs="宋体"/>
          <w:bCs/>
          <w:color w:val="auto"/>
          <w:sz w:val="28"/>
          <w:szCs w:val="28"/>
          <w:highlight w:val="none"/>
        </w:rPr>
      </w:pPr>
      <w:bookmarkStart w:id="477" w:name="_Toc13349"/>
      <w:bookmarkStart w:id="478" w:name="_Toc19689"/>
      <w:bookmarkStart w:id="479" w:name="_Toc32585"/>
      <w:bookmarkStart w:id="480" w:name="_Toc29413"/>
      <w:bookmarkStart w:id="481" w:name="_Toc438214672"/>
      <w:bookmarkStart w:id="482" w:name="_Toc273"/>
      <w:bookmarkStart w:id="483" w:name="_Toc399683798"/>
      <w:r>
        <w:rPr>
          <w:rFonts w:ascii="宋体" w:hAnsi="宋体" w:cs="宋体"/>
          <w:bCs/>
          <w:color w:val="auto"/>
          <w:sz w:val="28"/>
          <w:szCs w:val="28"/>
          <w:highlight w:val="none"/>
        </w:rPr>
        <w:t>8.1.1</w:t>
      </w:r>
      <w:r>
        <w:rPr>
          <w:rFonts w:hint="eastAsia" w:ascii="宋体" w:hAnsi="宋体" w:cs="宋体"/>
          <w:bCs/>
          <w:color w:val="auto"/>
          <w:sz w:val="28"/>
          <w:szCs w:val="28"/>
          <w:highlight w:val="none"/>
        </w:rPr>
        <w:t>给排水</w:t>
      </w:r>
      <w:bookmarkEnd w:id="477"/>
      <w:bookmarkEnd w:id="478"/>
      <w:bookmarkEnd w:id="479"/>
      <w:bookmarkEnd w:id="480"/>
      <w:bookmarkEnd w:id="481"/>
      <w:bookmarkEnd w:id="482"/>
      <w:bookmarkEnd w:id="483"/>
    </w:p>
    <w:p>
      <w:pPr>
        <w:pStyle w:val="32"/>
        <w:spacing w:line="560" w:lineRule="exact"/>
        <w:ind w:firstLine="31680"/>
        <w:jc w:val="left"/>
        <w:outlineLvl w:val="1"/>
        <w:rPr>
          <w:rFonts w:ascii="宋体" w:cs="宋体"/>
          <w:bCs/>
          <w:color w:val="auto"/>
          <w:sz w:val="28"/>
          <w:szCs w:val="28"/>
          <w:highlight w:val="none"/>
        </w:rPr>
      </w:pPr>
      <w:bookmarkStart w:id="484" w:name="_Toc6757"/>
      <w:bookmarkStart w:id="485" w:name="_Toc29189"/>
      <w:bookmarkStart w:id="486" w:name="_Toc9218"/>
      <w:bookmarkStart w:id="487" w:name="_Toc3158"/>
      <w:bookmarkStart w:id="488" w:name="_Toc2522"/>
      <w:r>
        <w:rPr>
          <w:rFonts w:hint="eastAsia" w:ascii="宋体" w:hAnsi="宋体" w:cs="宋体"/>
          <w:bCs/>
          <w:color w:val="auto"/>
          <w:sz w:val="28"/>
          <w:szCs w:val="28"/>
          <w:highlight w:val="none"/>
        </w:rPr>
        <w:t>本项目为江苏索普新材料科技有限公司</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年次氯酸钠项目</w:t>
      </w:r>
      <w:r>
        <w:rPr>
          <w:rFonts w:hint="eastAsia" w:ascii="宋体" w:hAnsi="宋体" w:cs="宋体"/>
          <w:bCs/>
          <w:color w:val="auto"/>
          <w:sz w:val="28"/>
          <w:szCs w:val="28"/>
          <w:highlight w:val="none"/>
        </w:rPr>
        <w:t>生产装置，公司内原有给排水设施已包括：生产给水系统，独立消防给水系统，清净排水系统、生产污水排水系统、生活污水排水系统。该区域的给排水设计能基本满足本项目的需要。</w:t>
      </w:r>
      <w:bookmarkEnd w:id="484"/>
      <w:bookmarkEnd w:id="485"/>
      <w:bookmarkEnd w:id="486"/>
      <w:bookmarkEnd w:id="487"/>
      <w:bookmarkEnd w:id="488"/>
    </w:p>
    <w:p>
      <w:pPr>
        <w:pStyle w:val="32"/>
        <w:spacing w:line="560" w:lineRule="exact"/>
        <w:ind w:firstLine="31680"/>
        <w:jc w:val="left"/>
        <w:outlineLvl w:val="1"/>
        <w:rPr>
          <w:rFonts w:ascii="宋体" w:cs="宋体"/>
          <w:bCs/>
          <w:color w:val="auto"/>
          <w:sz w:val="28"/>
          <w:szCs w:val="28"/>
          <w:highlight w:val="none"/>
        </w:rPr>
      </w:pPr>
      <w:bookmarkStart w:id="489" w:name="_Toc20428"/>
      <w:bookmarkStart w:id="490" w:name="_Toc28637"/>
      <w:bookmarkStart w:id="491" w:name="_Toc9343"/>
      <w:bookmarkStart w:id="492" w:name="_Toc1708"/>
      <w:bookmarkStart w:id="493" w:name="_Toc22754"/>
      <w:bookmarkStart w:id="494" w:name="_Toc438214673"/>
      <w:bookmarkStart w:id="495" w:name="_Toc399683799"/>
      <w:r>
        <w:rPr>
          <w:rFonts w:hint="eastAsia" w:ascii="宋体" w:hAnsi="宋体" w:cs="宋体"/>
          <w:bCs/>
          <w:color w:val="auto"/>
          <w:sz w:val="28"/>
          <w:szCs w:val="28"/>
          <w:highlight w:val="none"/>
        </w:rPr>
        <w:t>（</w:t>
      </w:r>
      <w:r>
        <w:rPr>
          <w:rFonts w:ascii="宋体" w:hAnsi="宋体" w:cs="宋体"/>
          <w:bCs/>
          <w:color w:val="auto"/>
          <w:sz w:val="28"/>
          <w:szCs w:val="28"/>
          <w:highlight w:val="none"/>
        </w:rPr>
        <w:t>1</w:t>
      </w:r>
      <w:r>
        <w:rPr>
          <w:rFonts w:hint="eastAsia" w:ascii="宋体" w:hAnsi="宋体" w:cs="宋体"/>
          <w:bCs/>
          <w:color w:val="auto"/>
          <w:sz w:val="28"/>
          <w:szCs w:val="28"/>
          <w:highlight w:val="none"/>
        </w:rPr>
        <w:t>）设计标准规范</w:t>
      </w:r>
      <w:bookmarkEnd w:id="489"/>
      <w:bookmarkEnd w:id="490"/>
      <w:bookmarkEnd w:id="491"/>
      <w:bookmarkEnd w:id="492"/>
      <w:bookmarkEnd w:id="493"/>
    </w:p>
    <w:p>
      <w:pPr>
        <w:pStyle w:val="32"/>
        <w:spacing w:line="560" w:lineRule="exact"/>
        <w:ind w:firstLine="31680"/>
        <w:jc w:val="left"/>
        <w:outlineLvl w:val="1"/>
        <w:rPr>
          <w:rFonts w:ascii="宋体" w:hAnsi="宋体" w:cs="宋体"/>
          <w:bCs/>
          <w:color w:val="auto"/>
          <w:sz w:val="28"/>
          <w:szCs w:val="28"/>
          <w:highlight w:val="none"/>
        </w:rPr>
      </w:pPr>
      <w:bookmarkStart w:id="496" w:name="_Toc13560"/>
      <w:bookmarkStart w:id="497" w:name="_Toc29733"/>
      <w:bookmarkStart w:id="498" w:name="_Toc12274"/>
      <w:bookmarkStart w:id="499" w:name="_Toc23901"/>
      <w:bookmarkStart w:id="500" w:name="_Toc28961"/>
      <w:r>
        <w:rPr>
          <w:rFonts w:hint="eastAsia" w:ascii="宋体" w:hAnsi="宋体" w:cs="宋体"/>
          <w:bCs/>
          <w:color w:val="auto"/>
          <w:sz w:val="28"/>
          <w:szCs w:val="28"/>
          <w:highlight w:val="none"/>
        </w:rPr>
        <w:t>按照最新通用的中国标准和规范进行电气设计和设备的选择，主要采用的标准和规范如下</w:t>
      </w:r>
      <w:r>
        <w:rPr>
          <w:rFonts w:ascii="宋体" w:hAnsi="宋体" w:cs="宋体"/>
          <w:bCs/>
          <w:color w:val="auto"/>
          <w:sz w:val="28"/>
          <w:szCs w:val="28"/>
          <w:highlight w:val="none"/>
        </w:rPr>
        <w:t>:</w:t>
      </w:r>
      <w:bookmarkEnd w:id="496"/>
      <w:bookmarkEnd w:id="497"/>
      <w:bookmarkEnd w:id="498"/>
      <w:bookmarkEnd w:id="499"/>
      <w:bookmarkEnd w:id="500"/>
    </w:p>
    <w:p>
      <w:pPr>
        <w:pStyle w:val="32"/>
        <w:spacing w:line="560" w:lineRule="exact"/>
        <w:ind w:firstLine="31680"/>
        <w:jc w:val="left"/>
        <w:outlineLvl w:val="1"/>
        <w:rPr>
          <w:rFonts w:ascii="宋体" w:hAnsi="宋体" w:cs="宋体"/>
          <w:bCs/>
          <w:color w:val="auto"/>
          <w:sz w:val="28"/>
          <w:szCs w:val="28"/>
          <w:highlight w:val="none"/>
        </w:rPr>
      </w:pPr>
      <w:bookmarkStart w:id="501" w:name="_Toc3294"/>
      <w:bookmarkStart w:id="502" w:name="_Toc10882"/>
      <w:bookmarkStart w:id="503" w:name="_Toc12809"/>
      <w:bookmarkStart w:id="504" w:name="_Toc22880"/>
      <w:bookmarkStart w:id="505" w:name="_Toc16961"/>
      <w:r>
        <w:rPr>
          <w:rFonts w:hint="eastAsia" w:ascii="宋体" w:hAnsi="宋体" w:cs="宋体"/>
          <w:bCs/>
          <w:color w:val="auto"/>
          <w:sz w:val="28"/>
          <w:szCs w:val="28"/>
          <w:highlight w:val="none"/>
        </w:rPr>
        <w:t>《室外给水设计标准》</w:t>
      </w:r>
      <w:r>
        <w:rPr>
          <w:rFonts w:ascii="宋体" w:hAnsi="宋体" w:cs="宋体"/>
          <w:bCs/>
          <w:color w:val="auto"/>
          <w:sz w:val="28"/>
          <w:szCs w:val="28"/>
          <w:highlight w:val="none"/>
        </w:rPr>
        <w:t>GB50013-2018</w:t>
      </w:r>
      <w:bookmarkEnd w:id="501"/>
      <w:bookmarkEnd w:id="502"/>
      <w:bookmarkEnd w:id="503"/>
      <w:bookmarkEnd w:id="504"/>
      <w:bookmarkEnd w:id="505"/>
    </w:p>
    <w:p>
      <w:pPr>
        <w:pStyle w:val="32"/>
        <w:spacing w:line="560" w:lineRule="exact"/>
        <w:ind w:firstLine="31680"/>
        <w:jc w:val="left"/>
        <w:outlineLvl w:val="1"/>
        <w:rPr>
          <w:rFonts w:ascii="宋体" w:hAnsi="宋体" w:cs="宋体"/>
          <w:bCs/>
          <w:color w:val="auto"/>
          <w:sz w:val="28"/>
          <w:szCs w:val="28"/>
          <w:highlight w:val="none"/>
        </w:rPr>
      </w:pPr>
      <w:bookmarkStart w:id="506" w:name="_Toc26680"/>
      <w:bookmarkStart w:id="507" w:name="_Toc3689"/>
      <w:bookmarkStart w:id="508" w:name="_Toc27490"/>
      <w:bookmarkStart w:id="509" w:name="_Toc22785"/>
      <w:bookmarkStart w:id="510" w:name="_Toc1841"/>
      <w:r>
        <w:rPr>
          <w:rFonts w:hint="eastAsia" w:ascii="宋体" w:hAnsi="宋体" w:cs="宋体"/>
          <w:bCs/>
          <w:color w:val="auto"/>
          <w:sz w:val="28"/>
          <w:szCs w:val="28"/>
          <w:highlight w:val="none"/>
        </w:rPr>
        <w:t>《室外排水设计规范》</w:t>
      </w:r>
      <w:r>
        <w:rPr>
          <w:rFonts w:ascii="宋体" w:hAnsi="宋体" w:cs="宋体"/>
          <w:bCs/>
          <w:color w:val="auto"/>
          <w:sz w:val="28"/>
          <w:szCs w:val="28"/>
          <w:highlight w:val="none"/>
        </w:rPr>
        <w:t>GB50014-20</w:t>
      </w:r>
      <w:bookmarkEnd w:id="506"/>
      <w:bookmarkEnd w:id="507"/>
      <w:bookmarkEnd w:id="508"/>
      <w:r>
        <w:rPr>
          <w:rFonts w:ascii="宋体" w:hAnsi="宋体" w:cs="宋体"/>
          <w:bCs/>
          <w:color w:val="auto"/>
          <w:sz w:val="28"/>
          <w:szCs w:val="28"/>
          <w:highlight w:val="none"/>
        </w:rPr>
        <w:t>21</w:t>
      </w:r>
      <w:bookmarkEnd w:id="509"/>
      <w:bookmarkEnd w:id="510"/>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《建筑给水排水设计规范》</w:t>
      </w:r>
      <w:r>
        <w:rPr>
          <w:rFonts w:ascii="宋体" w:hAnsi="宋体" w:cs="宋体"/>
          <w:bCs/>
          <w:color w:val="auto"/>
          <w:sz w:val="28"/>
          <w:szCs w:val="28"/>
          <w:highlight w:val="none"/>
        </w:rPr>
        <w:t>GB50015-2019</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《工业循环水冷却设计规范》</w:t>
      </w:r>
      <w:r>
        <w:rPr>
          <w:rFonts w:ascii="宋体" w:hAnsi="宋体" w:cs="宋体"/>
          <w:bCs/>
          <w:color w:val="auto"/>
          <w:sz w:val="28"/>
          <w:szCs w:val="28"/>
          <w:highlight w:val="none"/>
        </w:rPr>
        <w:t>GB50102-2014</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《工业循环冷却水处理设计规范》</w:t>
      </w:r>
      <w:r>
        <w:rPr>
          <w:rFonts w:ascii="宋体" w:hAnsi="宋体" w:cs="宋体"/>
          <w:bCs/>
          <w:color w:val="auto"/>
          <w:sz w:val="28"/>
          <w:szCs w:val="28"/>
          <w:highlight w:val="none"/>
        </w:rPr>
        <w:t>GB50050-2017</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《生活饮用水卫生标准》</w:t>
      </w:r>
      <w:r>
        <w:rPr>
          <w:rFonts w:ascii="宋体" w:hAnsi="宋体" w:cs="宋体"/>
          <w:bCs/>
          <w:color w:val="auto"/>
          <w:sz w:val="28"/>
          <w:szCs w:val="28"/>
          <w:highlight w:val="none"/>
        </w:rPr>
        <w:t xml:space="preserve"> GB5749-2022</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《石油化工企业给水排水系统设计规范》</w:t>
      </w:r>
      <w:r>
        <w:rPr>
          <w:rFonts w:ascii="宋体" w:hAnsi="宋体" w:cs="宋体"/>
          <w:bCs/>
          <w:color w:val="auto"/>
          <w:sz w:val="28"/>
          <w:szCs w:val="28"/>
          <w:highlight w:val="none"/>
        </w:rPr>
        <w:t>SH/T3015-2019</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《石油化工给水排水水质标准》</w:t>
      </w:r>
      <w:r>
        <w:rPr>
          <w:rFonts w:ascii="宋体" w:hAnsi="宋体" w:cs="宋体"/>
          <w:bCs/>
          <w:color w:val="auto"/>
          <w:sz w:val="28"/>
          <w:szCs w:val="28"/>
          <w:highlight w:val="none"/>
        </w:rPr>
        <w:t>SH/T3099</w:t>
      </w:r>
      <w:r>
        <w:rPr>
          <w:rFonts w:hint="eastAsia" w:ascii="宋体" w:hAnsi="宋体" w:cs="宋体"/>
          <w:bCs/>
          <w:color w:val="auto"/>
          <w:sz w:val="28"/>
          <w:szCs w:val="28"/>
          <w:highlight w:val="none"/>
        </w:rPr>
        <w:t>－</w:t>
      </w:r>
      <w:r>
        <w:rPr>
          <w:rFonts w:ascii="宋体" w:hAnsi="宋体" w:cs="宋体"/>
          <w:bCs/>
          <w:color w:val="auto"/>
          <w:sz w:val="28"/>
          <w:szCs w:val="28"/>
          <w:highlight w:val="none"/>
        </w:rPr>
        <w:t>2021</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）设计原则</w:t>
      </w:r>
    </w:p>
    <w:p>
      <w:pPr>
        <w:numPr>
          <w:ilvl w:val="0"/>
          <w:numId w:val="6"/>
        </w:num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严格执行国家有关法律法规，强制性设计标准及规范，符合安全生产、保护环境、节约能源和节约用水的要求，便于施工、维修和操作管理。</w:t>
      </w:r>
    </w:p>
    <w:p>
      <w:pPr>
        <w:numPr>
          <w:ilvl w:val="0"/>
          <w:numId w:val="6"/>
        </w:num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循环水处理、污水处理工艺采用成熟、先进、可靠的工艺。控制水平适中，手动和自动控制相结合，符合国情。</w:t>
      </w:r>
    </w:p>
    <w:p>
      <w:pPr>
        <w:numPr>
          <w:ilvl w:val="0"/>
          <w:numId w:val="6"/>
        </w:num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在可靠的前提下，尽可能利用国内技术与设备，达到低能耗、低成本。</w:t>
      </w:r>
    </w:p>
    <w:p>
      <w:pPr>
        <w:numPr>
          <w:ilvl w:val="0"/>
          <w:numId w:val="6"/>
        </w:num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给水方案以节约用水为原则，合理利用水资源。</w:t>
      </w:r>
    </w:p>
    <w:p>
      <w:pPr>
        <w:numPr>
          <w:ilvl w:val="0"/>
          <w:numId w:val="6"/>
        </w:num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排水以清污分流为原则。</w:t>
      </w:r>
    </w:p>
    <w:p>
      <w:pPr>
        <w:numPr>
          <w:ilvl w:val="0"/>
          <w:numId w:val="6"/>
        </w:num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循环用水、节约用水、降低资源消耗、装置分级计量、采用新型管材、采用节水设备、实施循环经济可持续发展战略。</w:t>
      </w:r>
    </w:p>
    <w:p>
      <w:pPr>
        <w:spacing w:line="560" w:lineRule="exact"/>
        <w:ind w:firstLine="560" w:firstLineChars="20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3</w:t>
      </w:r>
      <w:r>
        <w:rPr>
          <w:rFonts w:hint="eastAsia" w:ascii="宋体" w:hAnsi="宋体" w:cs="宋体"/>
          <w:bCs/>
          <w:color w:val="auto"/>
          <w:sz w:val="28"/>
          <w:szCs w:val="28"/>
          <w:highlight w:val="none"/>
        </w:rPr>
        <w:t>）设计范围</w:t>
      </w:r>
      <w:bookmarkEnd w:id="494"/>
      <w:bookmarkEnd w:id="495"/>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本项目给排水设计范围为</w:t>
      </w:r>
      <w:r>
        <w:rPr>
          <w:rFonts w:hint="eastAsia" w:ascii="宋体" w:hAnsi="宋体" w:cs="宋体"/>
          <w:bCs/>
          <w:color w:val="auto"/>
          <w:sz w:val="28"/>
          <w:szCs w:val="28"/>
          <w:highlight w:val="none"/>
        </w:rPr>
        <w:t>江苏索普新材料科技有限公司</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年次氯酸钠项目</w:t>
      </w:r>
      <w:r>
        <w:rPr>
          <w:rFonts w:hint="eastAsia" w:ascii="宋体" w:hAnsi="宋体" w:cs="宋体"/>
          <w:bCs/>
          <w:color w:val="auto"/>
          <w:sz w:val="28"/>
          <w:szCs w:val="28"/>
          <w:highlight w:val="none"/>
        </w:rPr>
        <w:t>生产装置</w:t>
      </w:r>
      <w:r>
        <w:rPr>
          <w:rFonts w:hint="eastAsia" w:ascii="宋体" w:hAnsi="宋体" w:cs="宋体"/>
          <w:bCs/>
          <w:color w:val="auto"/>
          <w:spacing w:val="-6"/>
          <w:sz w:val="28"/>
          <w:szCs w:val="28"/>
          <w:highlight w:val="none"/>
        </w:rPr>
        <w:t>内的给排水设计，本设计只对项目本身作可行性研究。</w:t>
      </w:r>
    </w:p>
    <w:p>
      <w:pPr>
        <w:pStyle w:val="32"/>
        <w:spacing w:line="560" w:lineRule="exact"/>
        <w:ind w:firstLine="31680"/>
        <w:jc w:val="left"/>
        <w:outlineLvl w:val="1"/>
        <w:rPr>
          <w:rFonts w:ascii="宋体" w:cs="宋体"/>
          <w:bCs/>
          <w:color w:val="auto"/>
          <w:sz w:val="28"/>
          <w:szCs w:val="28"/>
          <w:highlight w:val="none"/>
        </w:rPr>
      </w:pPr>
      <w:bookmarkStart w:id="511" w:name="_Toc19128"/>
      <w:bookmarkStart w:id="512" w:name="_Toc438214674"/>
      <w:bookmarkStart w:id="513" w:name="_Toc14823"/>
      <w:bookmarkStart w:id="514" w:name="_Toc399683800"/>
      <w:bookmarkStart w:id="515" w:name="_Toc16431"/>
      <w:bookmarkStart w:id="516" w:name="_Toc10477"/>
      <w:bookmarkStart w:id="517" w:name="_Toc2561"/>
      <w:r>
        <w:rPr>
          <w:rFonts w:hint="eastAsia" w:ascii="宋体" w:hAnsi="宋体" w:cs="宋体"/>
          <w:bCs/>
          <w:color w:val="auto"/>
          <w:sz w:val="28"/>
          <w:szCs w:val="28"/>
          <w:highlight w:val="none"/>
        </w:rPr>
        <w:t>（</w:t>
      </w:r>
      <w:r>
        <w:rPr>
          <w:rFonts w:ascii="宋体" w:hAnsi="宋体" w:cs="宋体"/>
          <w:bCs/>
          <w:color w:val="auto"/>
          <w:sz w:val="28"/>
          <w:szCs w:val="28"/>
          <w:highlight w:val="none"/>
        </w:rPr>
        <w:t>4</w:t>
      </w:r>
      <w:r>
        <w:rPr>
          <w:rFonts w:hint="eastAsia" w:ascii="宋体" w:hAnsi="宋体" w:cs="宋体"/>
          <w:bCs/>
          <w:color w:val="auto"/>
          <w:sz w:val="28"/>
          <w:szCs w:val="28"/>
          <w:highlight w:val="none"/>
        </w:rPr>
        <w:t>）给水系统</w:t>
      </w:r>
      <w:bookmarkEnd w:id="511"/>
      <w:bookmarkEnd w:id="512"/>
      <w:bookmarkEnd w:id="513"/>
      <w:bookmarkEnd w:id="514"/>
      <w:bookmarkEnd w:id="515"/>
      <w:bookmarkEnd w:id="516"/>
      <w:bookmarkEnd w:id="517"/>
    </w:p>
    <w:p>
      <w:pPr>
        <w:pStyle w:val="32"/>
        <w:spacing w:line="560" w:lineRule="exact"/>
        <w:ind w:firstLine="31680"/>
        <w:jc w:val="left"/>
        <w:outlineLvl w:val="1"/>
        <w:rPr>
          <w:rFonts w:ascii="宋体" w:cs="宋体"/>
          <w:bCs/>
          <w:color w:val="auto"/>
          <w:sz w:val="28"/>
          <w:szCs w:val="28"/>
          <w:highlight w:val="none"/>
        </w:rPr>
      </w:pPr>
      <w:bookmarkStart w:id="518" w:name="_Toc15667"/>
      <w:bookmarkStart w:id="519" w:name="_Toc13608"/>
      <w:bookmarkStart w:id="520" w:name="_Toc2669"/>
      <w:bookmarkStart w:id="521" w:name="_Toc23802"/>
      <w:bookmarkStart w:id="522" w:name="_Toc11391"/>
      <w:bookmarkStart w:id="523" w:name="_Toc438214675"/>
      <w:bookmarkStart w:id="524" w:name="_Toc399683801"/>
      <w:r>
        <w:rPr>
          <w:rFonts w:hint="eastAsia" w:ascii="宋体" w:hAnsi="宋体" w:cs="宋体"/>
          <w:bCs/>
          <w:color w:val="auto"/>
          <w:sz w:val="28"/>
          <w:szCs w:val="28"/>
          <w:highlight w:val="none"/>
        </w:rPr>
        <w:t>根据江苏索普新材料科技有限公司和当地消防部门的要求，给水系统分生产给水系统，循环冷却水系统等系统。</w:t>
      </w:r>
      <w:bookmarkEnd w:id="518"/>
      <w:bookmarkEnd w:id="519"/>
      <w:bookmarkEnd w:id="520"/>
      <w:bookmarkEnd w:id="521"/>
      <w:bookmarkEnd w:id="522"/>
    </w:p>
    <w:p>
      <w:pPr>
        <w:pStyle w:val="32"/>
        <w:spacing w:line="560" w:lineRule="exact"/>
        <w:ind w:firstLine="31680"/>
        <w:jc w:val="left"/>
        <w:outlineLvl w:val="1"/>
        <w:rPr>
          <w:rFonts w:ascii="宋体" w:cs="宋体"/>
          <w:bCs/>
          <w:color w:val="auto"/>
          <w:sz w:val="28"/>
          <w:szCs w:val="28"/>
          <w:highlight w:val="none"/>
        </w:rPr>
      </w:pPr>
      <w:bookmarkStart w:id="525" w:name="_Toc30336"/>
      <w:bookmarkStart w:id="526" w:name="_Toc16648"/>
      <w:bookmarkStart w:id="527" w:name="_Toc12758"/>
      <w:bookmarkStart w:id="528" w:name="_Toc4421"/>
      <w:bookmarkStart w:id="529" w:name="_Toc12339"/>
      <w:r>
        <w:rPr>
          <w:rFonts w:hint="eastAsia" w:ascii="宋体" w:hAnsi="宋体" w:cs="宋体"/>
          <w:bCs/>
          <w:color w:val="auto"/>
          <w:sz w:val="28"/>
          <w:szCs w:val="28"/>
          <w:highlight w:val="none"/>
        </w:rPr>
        <w:t>生产用水主要供生产、地坪冲洗用水以及循环冷却水给水系统的补充水。</w:t>
      </w:r>
      <w:bookmarkEnd w:id="525"/>
      <w:bookmarkEnd w:id="526"/>
      <w:bookmarkEnd w:id="527"/>
      <w:bookmarkEnd w:id="528"/>
      <w:bookmarkEnd w:id="529"/>
    </w:p>
    <w:p>
      <w:pPr>
        <w:pStyle w:val="32"/>
        <w:spacing w:line="560" w:lineRule="exact"/>
        <w:ind w:firstLine="31680"/>
        <w:jc w:val="left"/>
        <w:outlineLvl w:val="1"/>
        <w:rPr>
          <w:rFonts w:ascii="宋体" w:cs="宋体"/>
          <w:bCs/>
          <w:color w:val="auto"/>
          <w:sz w:val="28"/>
          <w:szCs w:val="28"/>
          <w:highlight w:val="none"/>
        </w:rPr>
      </w:pPr>
      <w:bookmarkStart w:id="530" w:name="_Toc31131"/>
      <w:bookmarkStart w:id="531" w:name="_Toc28278"/>
      <w:bookmarkStart w:id="532" w:name="_Toc19783"/>
      <w:bookmarkStart w:id="533" w:name="_Toc22029"/>
      <w:bookmarkStart w:id="534" w:name="_Toc26863"/>
      <w:r>
        <w:rPr>
          <w:rFonts w:hint="eastAsia" w:ascii="宋体" w:hAnsi="宋体" w:cs="宋体"/>
          <w:bCs/>
          <w:color w:val="auto"/>
          <w:sz w:val="28"/>
          <w:szCs w:val="28"/>
          <w:highlight w:val="none"/>
        </w:rPr>
        <w:t>消防给水系统采用独立的专门消防给水系统。根据《建筑设计防火规范》</w:t>
      </w:r>
      <w:r>
        <w:rPr>
          <w:rFonts w:ascii="宋体" w:hAnsi="宋体" w:cs="宋体"/>
          <w:bCs/>
          <w:color w:val="auto"/>
          <w:sz w:val="28"/>
          <w:szCs w:val="28"/>
          <w:highlight w:val="none"/>
        </w:rPr>
        <w:t>GB50016-2014</w:t>
      </w:r>
      <w:r>
        <w:rPr>
          <w:rFonts w:hint="eastAsia" w:ascii="宋体" w:hAnsi="宋体" w:cs="宋体"/>
          <w:bCs/>
          <w:color w:val="auto"/>
          <w:sz w:val="28"/>
          <w:szCs w:val="28"/>
          <w:highlight w:val="none"/>
        </w:rPr>
        <w:t>有关规定，同一时间内火灾次数为一次，火灾延续时间</w:t>
      </w:r>
      <w:r>
        <w:rPr>
          <w:rFonts w:ascii="宋体" w:hAnsi="宋体" w:cs="宋体"/>
          <w:bCs/>
          <w:color w:val="auto"/>
          <w:sz w:val="28"/>
          <w:szCs w:val="28"/>
          <w:highlight w:val="none"/>
        </w:rPr>
        <w:t>3</w:t>
      </w:r>
      <w:r>
        <w:rPr>
          <w:rFonts w:hint="eastAsia" w:ascii="宋体" w:hAnsi="宋体" w:cs="宋体"/>
          <w:bCs/>
          <w:color w:val="auto"/>
          <w:sz w:val="28"/>
          <w:szCs w:val="28"/>
          <w:highlight w:val="none"/>
        </w:rPr>
        <w:t>小时。室外设地上式消火栓，消防水量为</w:t>
      </w:r>
      <w:r>
        <w:rPr>
          <w:rFonts w:ascii="宋体" w:hAnsi="宋体" w:cs="宋体"/>
          <w:bCs/>
          <w:color w:val="auto"/>
          <w:sz w:val="28"/>
          <w:szCs w:val="28"/>
          <w:highlight w:val="none"/>
        </w:rPr>
        <w:t>25L/s</w:t>
      </w:r>
      <w:r>
        <w:rPr>
          <w:rFonts w:hint="eastAsia" w:ascii="宋体" w:hAnsi="宋体" w:cs="宋体"/>
          <w:bCs/>
          <w:color w:val="auto"/>
          <w:sz w:val="28"/>
          <w:szCs w:val="28"/>
          <w:highlight w:val="none"/>
        </w:rPr>
        <w:t>，消防最大为水量</w:t>
      </w:r>
      <w:r>
        <w:rPr>
          <w:rFonts w:ascii="宋体" w:hAnsi="宋体" w:cs="宋体"/>
          <w:bCs/>
          <w:color w:val="auto"/>
          <w:sz w:val="28"/>
          <w:szCs w:val="28"/>
          <w:highlight w:val="none"/>
        </w:rPr>
        <w:t>126m</w:t>
      </w:r>
      <w:r>
        <w:rPr>
          <w:rFonts w:ascii="宋体" w:hAnsi="宋体" w:cs="宋体"/>
          <w:bCs/>
          <w:color w:val="auto"/>
          <w:sz w:val="28"/>
          <w:szCs w:val="28"/>
          <w:highlight w:val="none"/>
          <w:vertAlign w:val="superscript"/>
        </w:rPr>
        <w:t>3</w:t>
      </w:r>
      <w:r>
        <w:rPr>
          <w:rFonts w:ascii="宋体" w:hAnsi="宋体" w:cs="宋体"/>
          <w:bCs/>
          <w:color w:val="auto"/>
          <w:sz w:val="28"/>
          <w:szCs w:val="28"/>
          <w:highlight w:val="none"/>
        </w:rPr>
        <w:t>/h</w:t>
      </w:r>
      <w:r>
        <w:rPr>
          <w:rFonts w:hint="eastAsia" w:ascii="宋体" w:hAnsi="宋体" w:cs="宋体"/>
          <w:bCs/>
          <w:color w:val="auto"/>
          <w:sz w:val="28"/>
          <w:szCs w:val="28"/>
          <w:highlight w:val="none"/>
        </w:rPr>
        <w:t>，交接点处供水压力≥</w:t>
      </w:r>
      <w:r>
        <w:rPr>
          <w:rFonts w:ascii="宋体" w:hAnsi="宋体" w:cs="宋体"/>
          <w:bCs/>
          <w:color w:val="auto"/>
          <w:sz w:val="28"/>
          <w:szCs w:val="28"/>
          <w:highlight w:val="none"/>
        </w:rPr>
        <w:t>0.4MPa</w:t>
      </w:r>
      <w:r>
        <w:rPr>
          <w:rFonts w:hint="eastAsia" w:ascii="宋体" w:hAnsi="宋体" w:cs="宋体"/>
          <w:bCs/>
          <w:color w:val="auto"/>
          <w:sz w:val="28"/>
          <w:szCs w:val="28"/>
          <w:highlight w:val="none"/>
        </w:rPr>
        <w:t>。给水接消防给水管网，管材采用无缝钢管，焊接或法兰连接，埋地钢管防腐采用加强级聚乙烯胶带防腐。</w:t>
      </w:r>
      <w:bookmarkEnd w:id="530"/>
      <w:bookmarkEnd w:id="531"/>
      <w:bookmarkEnd w:id="532"/>
      <w:bookmarkEnd w:id="533"/>
      <w:bookmarkEnd w:id="534"/>
    </w:p>
    <w:p>
      <w:pPr>
        <w:pStyle w:val="32"/>
        <w:spacing w:line="560" w:lineRule="exact"/>
        <w:ind w:firstLine="31680"/>
        <w:jc w:val="left"/>
        <w:outlineLvl w:val="1"/>
        <w:rPr>
          <w:rFonts w:ascii="宋体" w:cs="宋体"/>
          <w:bCs/>
          <w:color w:val="auto"/>
          <w:sz w:val="28"/>
          <w:szCs w:val="28"/>
          <w:highlight w:val="none"/>
        </w:rPr>
      </w:pPr>
      <w:bookmarkStart w:id="535" w:name="_Toc9117"/>
      <w:bookmarkStart w:id="536" w:name="_Toc17163"/>
      <w:bookmarkStart w:id="537" w:name="_Toc1277"/>
      <w:bookmarkStart w:id="538" w:name="_Toc28909"/>
      <w:bookmarkStart w:id="539" w:name="_Toc24194"/>
      <w:r>
        <w:rPr>
          <w:rFonts w:hint="eastAsia" w:ascii="宋体" w:hAnsi="宋体" w:cs="宋体"/>
          <w:bCs/>
          <w:color w:val="auto"/>
          <w:sz w:val="28"/>
          <w:szCs w:val="28"/>
          <w:highlight w:val="none"/>
        </w:rPr>
        <w:t>（</w:t>
      </w:r>
      <w:r>
        <w:rPr>
          <w:rFonts w:ascii="宋体" w:hAnsi="宋体" w:cs="宋体"/>
          <w:bCs/>
          <w:color w:val="auto"/>
          <w:sz w:val="28"/>
          <w:szCs w:val="28"/>
          <w:highlight w:val="none"/>
        </w:rPr>
        <w:t>5</w:t>
      </w:r>
      <w:r>
        <w:rPr>
          <w:rFonts w:hint="eastAsia" w:ascii="宋体" w:hAnsi="宋体" w:cs="宋体"/>
          <w:bCs/>
          <w:color w:val="auto"/>
          <w:sz w:val="28"/>
          <w:szCs w:val="28"/>
          <w:highlight w:val="none"/>
        </w:rPr>
        <w:t>）排水系统</w:t>
      </w:r>
      <w:bookmarkEnd w:id="523"/>
      <w:bookmarkEnd w:id="524"/>
      <w:bookmarkEnd w:id="535"/>
      <w:bookmarkEnd w:id="536"/>
      <w:bookmarkEnd w:id="537"/>
      <w:bookmarkEnd w:id="538"/>
      <w:bookmarkEnd w:id="539"/>
    </w:p>
    <w:p>
      <w:pPr>
        <w:pStyle w:val="32"/>
        <w:spacing w:line="560" w:lineRule="exact"/>
        <w:ind w:firstLine="31680"/>
        <w:jc w:val="left"/>
        <w:outlineLvl w:val="1"/>
        <w:rPr>
          <w:rFonts w:ascii="宋体" w:cs="宋体"/>
          <w:bCs/>
          <w:color w:val="auto"/>
          <w:sz w:val="28"/>
          <w:szCs w:val="28"/>
          <w:highlight w:val="none"/>
        </w:rPr>
      </w:pPr>
      <w:bookmarkStart w:id="540" w:name="_Toc11561"/>
      <w:bookmarkStart w:id="541" w:name="_Toc17719"/>
      <w:bookmarkStart w:id="542" w:name="_Toc13810"/>
      <w:bookmarkStart w:id="543" w:name="_Toc20828"/>
      <w:bookmarkStart w:id="544" w:name="_Toc26800"/>
      <w:r>
        <w:rPr>
          <w:rFonts w:hint="eastAsia" w:ascii="宋体" w:hAnsi="宋体" w:cs="宋体"/>
          <w:bCs/>
          <w:color w:val="auto"/>
          <w:sz w:val="28"/>
          <w:szCs w:val="28"/>
          <w:highlight w:val="none"/>
        </w:rPr>
        <w:t>界区采用明沟排水，统一排入界区外排水明沟。</w:t>
      </w:r>
      <w:bookmarkEnd w:id="540"/>
      <w:bookmarkEnd w:id="541"/>
      <w:bookmarkEnd w:id="542"/>
      <w:bookmarkEnd w:id="543"/>
      <w:bookmarkEnd w:id="544"/>
    </w:p>
    <w:p>
      <w:pPr>
        <w:spacing w:line="560" w:lineRule="exact"/>
        <w:ind w:firstLine="560" w:firstLineChars="200"/>
        <w:textAlignment w:val="center"/>
        <w:rPr>
          <w:rFonts w:ascii="宋体" w:cs="宋体"/>
          <w:bCs/>
          <w:color w:val="auto"/>
          <w:sz w:val="28"/>
          <w:szCs w:val="28"/>
          <w:highlight w:val="none"/>
        </w:rPr>
      </w:pPr>
      <w:r>
        <w:rPr>
          <w:rFonts w:hint="eastAsia" w:ascii="宋体" w:hAnsi="宋体" w:cs="宋体"/>
          <w:bCs/>
          <w:color w:val="auto"/>
          <w:sz w:val="28"/>
          <w:szCs w:val="28"/>
          <w:highlight w:val="none"/>
        </w:rPr>
        <w:t>生产污水排水系统主要为检修作业期间的地坪冲洗水，这部分水由工艺专业收集起来，经过工艺专业的处理后才能排入相应的排水明沟。</w:t>
      </w:r>
    </w:p>
    <w:p>
      <w:pPr>
        <w:spacing w:line="560" w:lineRule="exact"/>
        <w:ind w:firstLine="560" w:firstLineChars="200"/>
        <w:textAlignment w:val="center"/>
        <w:rPr>
          <w:rFonts w:ascii="宋体" w:cs="宋体"/>
          <w:bCs/>
          <w:color w:val="auto"/>
          <w:sz w:val="28"/>
          <w:szCs w:val="28"/>
          <w:highlight w:val="none"/>
        </w:rPr>
      </w:pPr>
      <w:r>
        <w:rPr>
          <w:rFonts w:hint="eastAsia" w:ascii="宋体" w:hAnsi="宋体" w:cs="宋体"/>
          <w:bCs/>
          <w:color w:val="auto"/>
          <w:sz w:val="28"/>
          <w:szCs w:val="28"/>
          <w:highlight w:val="none"/>
        </w:rPr>
        <w:t>清净排水系统主要为装置内雨水，清净生产排水及生活洗涤排水，这部分可直接排入明沟。</w:t>
      </w:r>
    </w:p>
    <w:p>
      <w:pPr>
        <w:spacing w:line="560" w:lineRule="exact"/>
        <w:ind w:firstLine="560" w:firstLineChars="200"/>
        <w:textAlignment w:val="center"/>
        <w:rPr>
          <w:rFonts w:ascii="宋体" w:cs="宋体"/>
          <w:bCs/>
          <w:color w:val="auto"/>
          <w:sz w:val="28"/>
          <w:szCs w:val="28"/>
          <w:highlight w:val="none"/>
        </w:rPr>
      </w:pPr>
      <w:r>
        <w:rPr>
          <w:rFonts w:hint="eastAsia" w:ascii="宋体" w:hAnsi="宋体" w:cs="宋体"/>
          <w:bCs/>
          <w:color w:val="auto"/>
          <w:sz w:val="28"/>
          <w:szCs w:val="28"/>
          <w:highlight w:val="none"/>
        </w:rPr>
        <w:t>界区雨水量的计算：</w:t>
      </w:r>
    </w:p>
    <w:p>
      <w:pPr>
        <w:spacing w:line="560" w:lineRule="exact"/>
        <w:ind w:firstLine="560" w:firstLineChars="200"/>
        <w:textAlignment w:val="center"/>
        <w:rPr>
          <w:rFonts w:ascii="宋体" w:hAnsi="宋体" w:cs="宋体"/>
          <w:bCs/>
          <w:color w:val="auto"/>
          <w:sz w:val="28"/>
          <w:szCs w:val="28"/>
          <w:highlight w:val="none"/>
        </w:rPr>
      </w:pPr>
      <w:r>
        <w:rPr>
          <w:rFonts w:hint="eastAsia" w:ascii="宋体" w:hAnsi="宋体" w:cs="宋体"/>
          <w:bCs/>
          <w:color w:val="auto"/>
          <w:sz w:val="28"/>
          <w:szCs w:val="28"/>
          <w:highlight w:val="none"/>
        </w:rPr>
        <w:t>镇江地区的暴雨强度公式：</w:t>
      </w:r>
      <w:r>
        <w:rPr>
          <w:rFonts w:ascii="宋体" w:hAnsi="宋体" w:cs="宋体"/>
          <w:bCs/>
          <w:color w:val="auto"/>
          <w:sz w:val="28"/>
          <w:szCs w:val="28"/>
          <w:highlight w:val="none"/>
        </w:rPr>
        <w:t>q=2418.16(1+0.787lgP) /(t+10.5)0.78(</w:t>
      </w:r>
      <w:r>
        <w:rPr>
          <w:rFonts w:hint="eastAsia" w:ascii="宋体" w:hAnsi="宋体" w:cs="宋体"/>
          <w:bCs/>
          <w:color w:val="auto"/>
          <w:sz w:val="28"/>
          <w:szCs w:val="28"/>
          <w:highlight w:val="none"/>
        </w:rPr>
        <w:t>升</w:t>
      </w:r>
      <w:r>
        <w:rPr>
          <w:rFonts w:ascii="宋体" w:hAnsi="宋体" w:cs="宋体"/>
          <w:bCs/>
          <w:color w:val="auto"/>
          <w:sz w:val="28"/>
          <w:szCs w:val="28"/>
          <w:highlight w:val="none"/>
        </w:rPr>
        <w:t>/</w:t>
      </w:r>
      <w:r>
        <w:rPr>
          <w:rFonts w:hint="eastAsia" w:ascii="宋体" w:hAnsi="宋体" w:cs="宋体"/>
          <w:bCs/>
          <w:color w:val="auto"/>
          <w:sz w:val="28"/>
          <w:szCs w:val="28"/>
          <w:highlight w:val="none"/>
        </w:rPr>
        <w:t>秒</w:t>
      </w:r>
      <w:r>
        <w:rPr>
          <w:rFonts w:ascii="宋体" w:hAnsi="宋体" w:cs="宋体"/>
          <w:bCs/>
          <w:color w:val="auto"/>
          <w:sz w:val="28"/>
          <w:szCs w:val="28"/>
          <w:highlight w:val="none"/>
        </w:rPr>
        <w:t>.</w:t>
      </w:r>
      <w:r>
        <w:rPr>
          <w:rFonts w:hint="eastAsia" w:ascii="宋体" w:hAnsi="宋体" w:cs="宋体"/>
          <w:bCs/>
          <w:color w:val="auto"/>
          <w:sz w:val="28"/>
          <w:szCs w:val="28"/>
          <w:highlight w:val="none"/>
        </w:rPr>
        <w:t>公顷</w:t>
      </w:r>
      <w:r>
        <w:rPr>
          <w:rFonts w:ascii="宋体" w:hAnsi="宋体" w:cs="宋体"/>
          <w:bCs/>
          <w:color w:val="auto"/>
          <w:sz w:val="28"/>
          <w:szCs w:val="28"/>
          <w:highlight w:val="none"/>
        </w:rPr>
        <w:t>)</w:t>
      </w:r>
    </w:p>
    <w:p>
      <w:pPr>
        <w:spacing w:line="560" w:lineRule="exact"/>
        <w:ind w:firstLine="560" w:firstLineChars="200"/>
        <w:textAlignment w:val="center"/>
        <w:rPr>
          <w:rFonts w:ascii="宋体" w:hAnsi="宋体" w:cs="宋体"/>
          <w:bCs/>
          <w:color w:val="auto"/>
          <w:sz w:val="28"/>
          <w:szCs w:val="28"/>
          <w:highlight w:val="none"/>
        </w:rPr>
      </w:pPr>
      <w:r>
        <w:rPr>
          <w:rFonts w:hint="eastAsia" w:ascii="宋体" w:hAnsi="宋体" w:cs="宋体"/>
          <w:bCs/>
          <w:color w:val="auto"/>
          <w:sz w:val="28"/>
          <w:szCs w:val="28"/>
          <w:highlight w:val="none"/>
        </w:rPr>
        <w:t>设计流量：</w:t>
      </w:r>
      <w:r>
        <w:rPr>
          <w:rFonts w:ascii="宋体" w:hAnsi="宋体" w:cs="宋体"/>
          <w:bCs/>
          <w:color w:val="auto"/>
          <w:sz w:val="28"/>
          <w:szCs w:val="28"/>
          <w:highlight w:val="none"/>
        </w:rPr>
        <w:t>Q</w:t>
      </w:r>
      <w:r>
        <w:rPr>
          <w:rFonts w:hint="eastAsia" w:ascii="宋体" w:hAnsi="宋体" w:cs="宋体"/>
          <w:bCs/>
          <w:color w:val="auto"/>
          <w:sz w:val="28"/>
          <w:szCs w:val="28"/>
          <w:highlight w:val="none"/>
        </w:rPr>
        <w:t>＝ф</w:t>
      </w:r>
      <w:r>
        <w:rPr>
          <w:rFonts w:ascii="宋体" w:hAnsi="宋体" w:cs="宋体"/>
          <w:bCs/>
          <w:color w:val="auto"/>
          <w:sz w:val="28"/>
          <w:szCs w:val="28"/>
          <w:highlight w:val="none"/>
        </w:rPr>
        <w:t>qF(</w:t>
      </w:r>
      <w:r>
        <w:rPr>
          <w:rFonts w:hint="eastAsia" w:ascii="宋体" w:hAnsi="宋体" w:cs="宋体"/>
          <w:bCs/>
          <w:color w:val="auto"/>
          <w:sz w:val="28"/>
          <w:szCs w:val="28"/>
          <w:highlight w:val="none"/>
        </w:rPr>
        <w:t>升</w:t>
      </w:r>
      <w:r>
        <w:rPr>
          <w:rFonts w:ascii="宋体" w:hAnsi="宋体" w:cs="宋体"/>
          <w:bCs/>
          <w:color w:val="auto"/>
          <w:sz w:val="28"/>
          <w:szCs w:val="28"/>
          <w:highlight w:val="none"/>
        </w:rPr>
        <w:t>/</w:t>
      </w:r>
      <w:r>
        <w:rPr>
          <w:rFonts w:hint="eastAsia" w:ascii="宋体" w:hAnsi="宋体" w:cs="宋体"/>
          <w:bCs/>
          <w:color w:val="auto"/>
          <w:sz w:val="28"/>
          <w:szCs w:val="28"/>
          <w:highlight w:val="none"/>
        </w:rPr>
        <w:t>秒</w:t>
      </w:r>
      <w:r>
        <w:rPr>
          <w:rFonts w:ascii="宋体" w:hAnsi="宋体" w:cs="宋体"/>
          <w:bCs/>
          <w:color w:val="auto"/>
          <w:sz w:val="28"/>
          <w:szCs w:val="28"/>
          <w:highlight w:val="none"/>
        </w:rPr>
        <w:t>)</w:t>
      </w:r>
    </w:p>
    <w:p>
      <w:pPr>
        <w:spacing w:line="560" w:lineRule="exact"/>
        <w:ind w:firstLine="560" w:firstLineChars="200"/>
        <w:textAlignment w:val="center"/>
        <w:rPr>
          <w:rFonts w:ascii="宋体" w:hAnsi="宋体" w:cs="宋体"/>
          <w:bCs/>
          <w:color w:val="auto"/>
          <w:sz w:val="28"/>
          <w:szCs w:val="28"/>
          <w:highlight w:val="none"/>
        </w:rPr>
      </w:pPr>
      <w:r>
        <w:rPr>
          <w:rFonts w:ascii="宋体" w:hAnsi="宋体" w:cs="宋体"/>
          <w:bCs/>
          <w:color w:val="auto"/>
          <w:sz w:val="28"/>
          <w:szCs w:val="28"/>
          <w:highlight w:val="none"/>
        </w:rPr>
        <w:t xml:space="preserve">    t </w:t>
      </w:r>
      <w:r>
        <w:rPr>
          <w:rFonts w:hint="eastAsia" w:ascii="宋体" w:hAnsi="宋体" w:cs="宋体"/>
          <w:bCs/>
          <w:color w:val="auto"/>
          <w:sz w:val="28"/>
          <w:szCs w:val="28"/>
          <w:highlight w:val="none"/>
        </w:rPr>
        <w:t>：降雨历时（分钟），取</w:t>
      </w:r>
      <w:r>
        <w:rPr>
          <w:rFonts w:ascii="宋体" w:hAnsi="宋体" w:cs="宋体"/>
          <w:bCs/>
          <w:color w:val="auto"/>
          <w:sz w:val="28"/>
          <w:szCs w:val="28"/>
          <w:highlight w:val="none"/>
        </w:rPr>
        <w:t>20</w:t>
      </w:r>
    </w:p>
    <w:p>
      <w:pPr>
        <w:spacing w:line="560" w:lineRule="exact"/>
        <w:ind w:firstLine="560" w:firstLineChars="200"/>
        <w:textAlignment w:val="center"/>
        <w:rPr>
          <w:rFonts w:ascii="宋体" w:hAnsi="宋体" w:cs="宋体"/>
          <w:bCs/>
          <w:color w:val="auto"/>
          <w:sz w:val="28"/>
          <w:szCs w:val="28"/>
          <w:highlight w:val="none"/>
        </w:rPr>
      </w:pPr>
      <w:r>
        <w:rPr>
          <w:rFonts w:hint="eastAsia" w:ascii="宋体" w:hAnsi="宋体" w:cs="宋体"/>
          <w:bCs/>
          <w:color w:val="auto"/>
          <w:sz w:val="28"/>
          <w:szCs w:val="28"/>
          <w:highlight w:val="none"/>
        </w:rPr>
        <w:t>ф：径流系数，取</w:t>
      </w:r>
      <w:r>
        <w:rPr>
          <w:rFonts w:ascii="宋体" w:hAnsi="宋体" w:cs="宋体"/>
          <w:bCs/>
          <w:color w:val="auto"/>
          <w:sz w:val="28"/>
          <w:szCs w:val="28"/>
          <w:highlight w:val="none"/>
        </w:rPr>
        <w:t>0.9</w:t>
      </w:r>
    </w:p>
    <w:p>
      <w:pPr>
        <w:spacing w:line="560" w:lineRule="exact"/>
        <w:ind w:firstLine="560" w:firstLineChars="200"/>
        <w:textAlignment w:val="center"/>
        <w:rPr>
          <w:rFonts w:ascii="宋体" w:hAnsi="宋体" w:cs="宋体"/>
          <w:bCs/>
          <w:color w:val="auto"/>
          <w:sz w:val="28"/>
          <w:szCs w:val="28"/>
          <w:highlight w:val="none"/>
        </w:rPr>
      </w:pPr>
      <w:r>
        <w:rPr>
          <w:rFonts w:ascii="宋体" w:hAnsi="宋体" w:cs="宋体"/>
          <w:bCs/>
          <w:color w:val="auto"/>
          <w:sz w:val="28"/>
          <w:szCs w:val="28"/>
          <w:highlight w:val="none"/>
        </w:rPr>
        <w:t xml:space="preserve">    F</w:t>
      </w:r>
      <w:r>
        <w:rPr>
          <w:rFonts w:hint="eastAsia" w:ascii="宋体" w:hAnsi="宋体" w:cs="宋体"/>
          <w:bCs/>
          <w:color w:val="auto"/>
          <w:sz w:val="28"/>
          <w:szCs w:val="28"/>
          <w:highlight w:val="none"/>
        </w:rPr>
        <w:t>：汇水面积（公顷），约</w:t>
      </w:r>
      <w:r>
        <w:rPr>
          <w:rFonts w:ascii="宋体" w:hAnsi="宋体" w:cs="宋体"/>
          <w:bCs/>
          <w:color w:val="auto"/>
          <w:sz w:val="28"/>
          <w:szCs w:val="28"/>
          <w:highlight w:val="none"/>
        </w:rPr>
        <w:t>0.02</w:t>
      </w:r>
    </w:p>
    <w:p>
      <w:pPr>
        <w:spacing w:line="560" w:lineRule="exact"/>
        <w:ind w:firstLine="560" w:firstLineChars="200"/>
        <w:textAlignment w:val="center"/>
        <w:rPr>
          <w:rFonts w:ascii="宋体" w:hAnsi="宋体" w:cs="宋体"/>
          <w:bCs/>
          <w:color w:val="auto"/>
          <w:sz w:val="28"/>
          <w:szCs w:val="28"/>
          <w:highlight w:val="none"/>
        </w:rPr>
      </w:pPr>
      <w:r>
        <w:rPr>
          <w:rFonts w:ascii="宋体" w:hAnsi="宋体" w:cs="宋体"/>
          <w:bCs/>
          <w:color w:val="auto"/>
          <w:sz w:val="28"/>
          <w:szCs w:val="28"/>
          <w:highlight w:val="none"/>
        </w:rPr>
        <w:t xml:space="preserve">    P</w:t>
      </w:r>
      <w:r>
        <w:rPr>
          <w:rFonts w:hint="eastAsia" w:ascii="宋体" w:hAnsi="宋体" w:cs="宋体"/>
          <w:bCs/>
          <w:color w:val="auto"/>
          <w:sz w:val="28"/>
          <w:szCs w:val="28"/>
          <w:highlight w:val="none"/>
        </w:rPr>
        <w:t>：设计降雨重现期（年），取</w:t>
      </w:r>
      <w:r>
        <w:rPr>
          <w:rFonts w:ascii="宋体" w:hAnsi="宋体" w:cs="宋体"/>
          <w:bCs/>
          <w:color w:val="auto"/>
          <w:sz w:val="28"/>
          <w:szCs w:val="28"/>
          <w:highlight w:val="none"/>
        </w:rPr>
        <w:t>1.0</w:t>
      </w:r>
    </w:p>
    <w:p>
      <w:pPr>
        <w:pStyle w:val="32"/>
        <w:spacing w:line="560" w:lineRule="exact"/>
        <w:ind w:firstLine="31680"/>
        <w:jc w:val="left"/>
        <w:outlineLvl w:val="1"/>
        <w:rPr>
          <w:rFonts w:ascii="宋体" w:cs="宋体"/>
          <w:bCs/>
          <w:color w:val="auto"/>
          <w:sz w:val="28"/>
          <w:szCs w:val="28"/>
          <w:highlight w:val="none"/>
        </w:rPr>
      </w:pPr>
      <w:bookmarkStart w:id="545" w:name="_Toc10223"/>
      <w:bookmarkStart w:id="546" w:name="_Toc6984"/>
      <w:bookmarkStart w:id="547" w:name="_Toc8240"/>
      <w:bookmarkStart w:id="548" w:name="_Toc15114"/>
      <w:bookmarkStart w:id="549" w:name="_Toc27614"/>
      <w:r>
        <w:rPr>
          <w:rFonts w:hint="eastAsia" w:ascii="宋体" w:hAnsi="宋体" w:cs="宋体"/>
          <w:bCs/>
          <w:color w:val="auto"/>
          <w:sz w:val="28"/>
          <w:szCs w:val="28"/>
          <w:highlight w:val="none"/>
        </w:rPr>
        <w:t>综上计算得</w:t>
      </w:r>
      <w:r>
        <w:rPr>
          <w:rFonts w:ascii="宋体" w:hAnsi="宋体" w:cs="宋体"/>
          <w:bCs/>
          <w:color w:val="auto"/>
          <w:sz w:val="28"/>
          <w:szCs w:val="28"/>
          <w:highlight w:val="none"/>
        </w:rPr>
        <w:t>Q</w:t>
      </w:r>
      <w:r>
        <w:rPr>
          <w:rFonts w:hint="eastAsia" w:ascii="宋体" w:hAnsi="宋体" w:cs="宋体"/>
          <w:bCs/>
          <w:color w:val="auto"/>
          <w:sz w:val="28"/>
          <w:szCs w:val="28"/>
          <w:highlight w:val="none"/>
        </w:rPr>
        <w:t>≈</w:t>
      </w:r>
      <w:r>
        <w:rPr>
          <w:rFonts w:ascii="宋体" w:hAnsi="宋体" w:cs="宋体"/>
          <w:bCs/>
          <w:color w:val="auto"/>
          <w:sz w:val="28"/>
          <w:szCs w:val="28"/>
          <w:highlight w:val="none"/>
        </w:rPr>
        <w:t>168.16</w:t>
      </w:r>
      <w:r>
        <w:rPr>
          <w:rFonts w:hint="eastAsia" w:ascii="宋体" w:hAnsi="宋体" w:cs="宋体"/>
          <w:bCs/>
          <w:color w:val="auto"/>
          <w:sz w:val="28"/>
          <w:szCs w:val="28"/>
          <w:highlight w:val="none"/>
        </w:rPr>
        <w:t>（升</w:t>
      </w:r>
      <w:r>
        <w:rPr>
          <w:rFonts w:ascii="宋体" w:hAnsi="宋体" w:cs="宋体"/>
          <w:bCs/>
          <w:color w:val="auto"/>
          <w:sz w:val="28"/>
          <w:szCs w:val="28"/>
          <w:highlight w:val="none"/>
        </w:rPr>
        <w:t>/</w:t>
      </w:r>
      <w:r>
        <w:rPr>
          <w:rFonts w:hint="eastAsia" w:ascii="宋体" w:hAnsi="宋体" w:cs="宋体"/>
          <w:bCs/>
          <w:color w:val="auto"/>
          <w:sz w:val="28"/>
          <w:szCs w:val="28"/>
          <w:highlight w:val="none"/>
        </w:rPr>
        <w:t>秒·公顷）</w:t>
      </w:r>
      <w:bookmarkEnd w:id="545"/>
      <w:bookmarkEnd w:id="546"/>
      <w:bookmarkEnd w:id="547"/>
      <w:bookmarkEnd w:id="548"/>
      <w:bookmarkEnd w:id="549"/>
    </w:p>
    <w:p>
      <w:pPr>
        <w:pStyle w:val="32"/>
        <w:spacing w:line="560" w:lineRule="exact"/>
        <w:ind w:firstLine="31680"/>
        <w:jc w:val="left"/>
        <w:outlineLvl w:val="1"/>
        <w:rPr>
          <w:rFonts w:ascii="宋体" w:cs="宋体"/>
          <w:bCs/>
          <w:color w:val="auto"/>
          <w:sz w:val="28"/>
          <w:szCs w:val="28"/>
          <w:highlight w:val="none"/>
        </w:rPr>
      </w:pPr>
      <w:bookmarkStart w:id="550" w:name="_Toc28181"/>
      <w:bookmarkStart w:id="551" w:name="_Toc438214676"/>
      <w:bookmarkStart w:id="552" w:name="_Toc20242"/>
      <w:bookmarkStart w:id="553" w:name="_Toc399683802"/>
      <w:bookmarkStart w:id="554" w:name="_Toc29524"/>
      <w:bookmarkStart w:id="555" w:name="_Toc7465"/>
      <w:bookmarkStart w:id="556" w:name="_Toc31246"/>
      <w:r>
        <w:rPr>
          <w:rFonts w:ascii="宋体" w:hAnsi="宋体" w:cs="宋体"/>
          <w:bCs/>
          <w:color w:val="auto"/>
          <w:sz w:val="28"/>
          <w:szCs w:val="28"/>
          <w:highlight w:val="none"/>
        </w:rPr>
        <w:t>8.1.2</w:t>
      </w:r>
      <w:r>
        <w:rPr>
          <w:rFonts w:hint="eastAsia" w:ascii="宋体" w:hAnsi="宋体" w:cs="宋体"/>
          <w:bCs/>
          <w:color w:val="auto"/>
          <w:sz w:val="28"/>
          <w:szCs w:val="28"/>
          <w:highlight w:val="none"/>
        </w:rPr>
        <w:t>供配电</w:t>
      </w:r>
      <w:bookmarkEnd w:id="550"/>
      <w:bookmarkEnd w:id="551"/>
      <w:bookmarkEnd w:id="552"/>
      <w:bookmarkEnd w:id="553"/>
      <w:bookmarkEnd w:id="554"/>
      <w:bookmarkEnd w:id="555"/>
      <w:bookmarkEnd w:id="556"/>
    </w:p>
    <w:p>
      <w:pPr>
        <w:pStyle w:val="32"/>
        <w:spacing w:line="560" w:lineRule="exact"/>
        <w:ind w:firstLine="31680"/>
        <w:jc w:val="left"/>
        <w:outlineLvl w:val="1"/>
        <w:rPr>
          <w:rFonts w:ascii="宋体" w:cs="宋体"/>
          <w:bCs/>
          <w:color w:val="auto"/>
          <w:sz w:val="28"/>
          <w:szCs w:val="28"/>
          <w:highlight w:val="none"/>
        </w:rPr>
      </w:pPr>
      <w:bookmarkStart w:id="557" w:name="_Toc25168"/>
      <w:bookmarkStart w:id="558" w:name="_Toc10619"/>
      <w:bookmarkStart w:id="559" w:name="_Toc30317"/>
      <w:bookmarkStart w:id="560" w:name="_Toc6393"/>
      <w:bookmarkStart w:id="561" w:name="_Toc26799"/>
      <w:bookmarkStart w:id="562" w:name="_Toc438214677"/>
      <w:bookmarkStart w:id="563" w:name="_Toc399683803"/>
      <w:r>
        <w:rPr>
          <w:rFonts w:hint="eastAsia" w:ascii="宋体" w:hAnsi="宋体" w:cs="宋体"/>
          <w:bCs/>
          <w:color w:val="auto"/>
          <w:sz w:val="28"/>
          <w:szCs w:val="28"/>
          <w:highlight w:val="none"/>
        </w:rPr>
        <w:t>（</w:t>
      </w:r>
      <w:r>
        <w:rPr>
          <w:rFonts w:ascii="宋体" w:hAnsi="宋体" w:cs="宋体"/>
          <w:bCs/>
          <w:color w:val="auto"/>
          <w:sz w:val="28"/>
          <w:szCs w:val="28"/>
          <w:highlight w:val="none"/>
        </w:rPr>
        <w:t>1</w:t>
      </w:r>
      <w:r>
        <w:rPr>
          <w:rFonts w:hint="eastAsia" w:ascii="宋体" w:hAnsi="宋体" w:cs="宋体"/>
          <w:bCs/>
          <w:color w:val="auto"/>
          <w:sz w:val="28"/>
          <w:szCs w:val="28"/>
          <w:highlight w:val="none"/>
        </w:rPr>
        <w:t>）设计标准规范</w:t>
      </w:r>
      <w:bookmarkEnd w:id="557"/>
      <w:bookmarkEnd w:id="558"/>
      <w:bookmarkEnd w:id="559"/>
      <w:bookmarkEnd w:id="560"/>
      <w:bookmarkEnd w:id="561"/>
    </w:p>
    <w:p>
      <w:pPr>
        <w:pStyle w:val="32"/>
        <w:spacing w:line="560" w:lineRule="exact"/>
        <w:ind w:firstLine="31680"/>
        <w:jc w:val="left"/>
        <w:outlineLvl w:val="1"/>
        <w:rPr>
          <w:rFonts w:ascii="宋体" w:hAnsi="宋体" w:cs="宋体"/>
          <w:bCs/>
          <w:color w:val="auto"/>
          <w:sz w:val="28"/>
          <w:szCs w:val="28"/>
          <w:highlight w:val="none"/>
        </w:rPr>
      </w:pPr>
      <w:bookmarkStart w:id="564" w:name="_Toc26937"/>
      <w:bookmarkStart w:id="565" w:name="_Toc23520"/>
      <w:bookmarkStart w:id="566" w:name="_Toc14386"/>
      <w:bookmarkStart w:id="567" w:name="_Toc32668"/>
      <w:bookmarkStart w:id="568" w:name="_Toc31139"/>
      <w:r>
        <w:rPr>
          <w:rFonts w:hint="eastAsia" w:ascii="宋体" w:hAnsi="宋体" w:cs="宋体"/>
          <w:bCs/>
          <w:color w:val="auto"/>
          <w:sz w:val="28"/>
          <w:szCs w:val="28"/>
          <w:highlight w:val="none"/>
        </w:rPr>
        <w:t>按照最新通用的中国标准和规范进行电气设计和设备的选择，主要采用的标准和规范如下</w:t>
      </w:r>
      <w:r>
        <w:rPr>
          <w:rFonts w:ascii="宋体" w:hAnsi="宋体" w:cs="宋体"/>
          <w:bCs/>
          <w:color w:val="auto"/>
          <w:sz w:val="28"/>
          <w:szCs w:val="28"/>
          <w:highlight w:val="none"/>
        </w:rPr>
        <w:t>:</w:t>
      </w:r>
      <w:bookmarkEnd w:id="564"/>
      <w:bookmarkEnd w:id="565"/>
      <w:bookmarkEnd w:id="566"/>
      <w:bookmarkEnd w:id="567"/>
      <w:bookmarkEnd w:id="568"/>
    </w:p>
    <w:p>
      <w:pPr>
        <w:pStyle w:val="32"/>
        <w:spacing w:line="560" w:lineRule="exact"/>
        <w:ind w:firstLine="31680"/>
        <w:jc w:val="left"/>
        <w:outlineLvl w:val="1"/>
        <w:rPr>
          <w:rFonts w:ascii="宋体" w:hAnsi="宋体" w:cs="宋体"/>
          <w:bCs/>
          <w:color w:val="auto"/>
          <w:sz w:val="28"/>
          <w:szCs w:val="28"/>
          <w:highlight w:val="none"/>
        </w:rPr>
      </w:pPr>
      <w:bookmarkStart w:id="569" w:name="_Toc26801"/>
      <w:bookmarkStart w:id="570" w:name="_Toc30457"/>
      <w:bookmarkStart w:id="571" w:name="_Toc20512"/>
      <w:bookmarkStart w:id="572" w:name="_Toc32502"/>
      <w:bookmarkStart w:id="573" w:name="_Toc11675"/>
      <w:r>
        <w:rPr>
          <w:rFonts w:hint="eastAsia" w:ascii="宋体" w:hAnsi="宋体" w:cs="宋体"/>
          <w:bCs/>
          <w:color w:val="auto"/>
          <w:sz w:val="28"/>
          <w:szCs w:val="28"/>
          <w:highlight w:val="none"/>
        </w:rPr>
        <w:t>《供配电系统设计规范》</w:t>
      </w:r>
      <w:r>
        <w:rPr>
          <w:rFonts w:ascii="宋体" w:hAnsi="宋体" w:cs="宋体"/>
          <w:bCs/>
          <w:color w:val="auto"/>
          <w:sz w:val="28"/>
          <w:szCs w:val="28"/>
          <w:highlight w:val="none"/>
        </w:rPr>
        <w:t xml:space="preserve"> GB50052-2009</w:t>
      </w:r>
      <w:bookmarkEnd w:id="569"/>
      <w:bookmarkEnd w:id="570"/>
      <w:bookmarkEnd w:id="571"/>
      <w:bookmarkEnd w:id="572"/>
      <w:bookmarkEnd w:id="573"/>
    </w:p>
    <w:p>
      <w:pPr>
        <w:pStyle w:val="32"/>
        <w:spacing w:line="560" w:lineRule="exact"/>
        <w:ind w:firstLine="31680"/>
        <w:jc w:val="left"/>
        <w:outlineLvl w:val="1"/>
        <w:rPr>
          <w:rFonts w:ascii="宋体" w:hAnsi="宋体" w:cs="宋体"/>
          <w:bCs/>
          <w:color w:val="auto"/>
          <w:sz w:val="28"/>
          <w:szCs w:val="28"/>
          <w:highlight w:val="none"/>
        </w:rPr>
      </w:pPr>
      <w:bookmarkStart w:id="574" w:name="_Toc17385"/>
      <w:bookmarkStart w:id="575" w:name="_Toc10241"/>
      <w:bookmarkStart w:id="576" w:name="_Toc25167"/>
      <w:bookmarkStart w:id="577" w:name="_Toc15574"/>
      <w:bookmarkStart w:id="578" w:name="_Toc3105"/>
      <w:r>
        <w:rPr>
          <w:rFonts w:hint="eastAsia" w:ascii="宋体" w:hAnsi="宋体" w:cs="宋体"/>
          <w:bCs/>
          <w:color w:val="auto"/>
          <w:sz w:val="28"/>
          <w:szCs w:val="28"/>
          <w:highlight w:val="none"/>
        </w:rPr>
        <w:t>《低压配电设计规范》</w:t>
      </w:r>
      <w:r>
        <w:rPr>
          <w:rFonts w:ascii="宋体" w:hAnsi="宋体" w:cs="宋体"/>
          <w:bCs/>
          <w:color w:val="auto"/>
          <w:sz w:val="28"/>
          <w:szCs w:val="28"/>
          <w:highlight w:val="none"/>
        </w:rPr>
        <w:t>GB50054-2011</w:t>
      </w:r>
      <w:bookmarkEnd w:id="574"/>
      <w:bookmarkEnd w:id="575"/>
      <w:bookmarkEnd w:id="576"/>
      <w:bookmarkEnd w:id="577"/>
      <w:bookmarkEnd w:id="578"/>
    </w:p>
    <w:p>
      <w:pPr>
        <w:pStyle w:val="32"/>
        <w:spacing w:line="560" w:lineRule="exact"/>
        <w:ind w:firstLine="31680"/>
        <w:jc w:val="left"/>
        <w:outlineLvl w:val="1"/>
        <w:rPr>
          <w:rFonts w:ascii="宋体" w:hAnsi="宋体" w:cs="宋体"/>
          <w:bCs/>
          <w:color w:val="auto"/>
          <w:sz w:val="28"/>
          <w:szCs w:val="28"/>
          <w:highlight w:val="none"/>
        </w:rPr>
      </w:pPr>
      <w:bookmarkStart w:id="579" w:name="_Toc17600"/>
      <w:bookmarkStart w:id="580" w:name="_Toc31788"/>
      <w:bookmarkStart w:id="581" w:name="_Toc2236"/>
      <w:bookmarkStart w:id="582" w:name="_Toc9293"/>
      <w:bookmarkStart w:id="583" w:name="_Toc722"/>
      <w:r>
        <w:rPr>
          <w:rFonts w:hint="eastAsia" w:ascii="宋体" w:hAnsi="宋体" w:cs="宋体"/>
          <w:bCs/>
          <w:color w:val="auto"/>
          <w:sz w:val="28"/>
          <w:szCs w:val="28"/>
          <w:highlight w:val="none"/>
        </w:rPr>
        <w:t>《通用用电设备设计规范》</w:t>
      </w:r>
      <w:r>
        <w:rPr>
          <w:rFonts w:ascii="宋体" w:hAnsi="宋体" w:cs="宋体"/>
          <w:bCs/>
          <w:color w:val="auto"/>
          <w:sz w:val="28"/>
          <w:szCs w:val="28"/>
          <w:highlight w:val="none"/>
        </w:rPr>
        <w:t>GB50055-2011</w:t>
      </w:r>
      <w:bookmarkEnd w:id="579"/>
      <w:bookmarkEnd w:id="580"/>
      <w:bookmarkEnd w:id="581"/>
      <w:bookmarkEnd w:id="582"/>
      <w:bookmarkEnd w:id="583"/>
    </w:p>
    <w:p>
      <w:pPr>
        <w:pStyle w:val="32"/>
        <w:spacing w:line="560" w:lineRule="exact"/>
        <w:ind w:firstLine="31680"/>
        <w:jc w:val="left"/>
        <w:outlineLvl w:val="1"/>
        <w:rPr>
          <w:rFonts w:ascii="宋体" w:hAnsi="宋体" w:cs="宋体"/>
          <w:bCs/>
          <w:color w:val="auto"/>
          <w:sz w:val="28"/>
          <w:szCs w:val="28"/>
          <w:highlight w:val="none"/>
        </w:rPr>
      </w:pPr>
      <w:bookmarkStart w:id="584" w:name="_Toc4869"/>
      <w:bookmarkStart w:id="585" w:name="_Toc1524"/>
      <w:bookmarkStart w:id="586" w:name="_Toc14124"/>
      <w:bookmarkStart w:id="587" w:name="_Toc7509"/>
      <w:bookmarkStart w:id="588" w:name="_Toc11113"/>
      <w:r>
        <w:rPr>
          <w:rFonts w:hint="eastAsia" w:ascii="宋体" w:hAnsi="宋体" w:cs="宋体"/>
          <w:bCs/>
          <w:color w:val="auto"/>
          <w:sz w:val="28"/>
          <w:szCs w:val="28"/>
          <w:highlight w:val="none"/>
        </w:rPr>
        <w:t>《建筑物防雷设计规范》</w:t>
      </w:r>
      <w:r>
        <w:rPr>
          <w:rFonts w:ascii="宋体" w:hAnsi="宋体" w:cs="宋体"/>
          <w:bCs/>
          <w:color w:val="auto"/>
          <w:sz w:val="28"/>
          <w:szCs w:val="28"/>
          <w:highlight w:val="none"/>
        </w:rPr>
        <w:t>GB50057-2010</w:t>
      </w:r>
      <w:bookmarkEnd w:id="584"/>
      <w:bookmarkEnd w:id="585"/>
      <w:bookmarkEnd w:id="586"/>
      <w:bookmarkEnd w:id="587"/>
      <w:bookmarkEnd w:id="588"/>
    </w:p>
    <w:p>
      <w:pPr>
        <w:pStyle w:val="32"/>
        <w:spacing w:line="560" w:lineRule="exact"/>
        <w:ind w:firstLine="31680"/>
        <w:jc w:val="left"/>
        <w:outlineLvl w:val="1"/>
        <w:rPr>
          <w:rFonts w:ascii="宋体" w:hAnsi="宋体" w:cs="宋体"/>
          <w:bCs/>
          <w:color w:val="auto"/>
          <w:sz w:val="28"/>
          <w:szCs w:val="28"/>
          <w:highlight w:val="none"/>
        </w:rPr>
      </w:pPr>
      <w:bookmarkStart w:id="589" w:name="_Toc17511"/>
      <w:r>
        <w:rPr>
          <w:rFonts w:hint="eastAsia" w:ascii="宋体" w:hAnsi="宋体" w:cs="宋体"/>
          <w:bCs/>
          <w:color w:val="auto"/>
          <w:sz w:val="28"/>
          <w:szCs w:val="28"/>
          <w:highlight w:val="none"/>
        </w:rPr>
        <w:t>《爆炸和火灾危险环境电力装置设计规范》</w:t>
      </w:r>
      <w:r>
        <w:rPr>
          <w:rFonts w:ascii="宋体" w:hAnsi="宋体" w:cs="宋体"/>
          <w:bCs/>
          <w:color w:val="auto"/>
          <w:sz w:val="28"/>
          <w:szCs w:val="28"/>
          <w:highlight w:val="none"/>
        </w:rPr>
        <w:t>GB50058-2014</w:t>
      </w:r>
      <w:bookmarkEnd w:id="589"/>
    </w:p>
    <w:p>
      <w:pPr>
        <w:pStyle w:val="32"/>
        <w:spacing w:line="560" w:lineRule="exact"/>
        <w:ind w:firstLine="31680"/>
        <w:jc w:val="left"/>
        <w:outlineLvl w:val="1"/>
        <w:rPr>
          <w:rFonts w:ascii="宋体" w:hAnsi="宋体" w:cs="宋体"/>
          <w:bCs/>
          <w:color w:val="auto"/>
          <w:sz w:val="28"/>
          <w:szCs w:val="28"/>
          <w:highlight w:val="none"/>
        </w:rPr>
      </w:pPr>
      <w:bookmarkStart w:id="590" w:name="_Toc12546"/>
      <w:r>
        <w:rPr>
          <w:rFonts w:hint="eastAsia" w:ascii="宋体" w:hAnsi="宋体" w:cs="宋体"/>
          <w:bCs/>
          <w:color w:val="auto"/>
          <w:sz w:val="28"/>
          <w:szCs w:val="28"/>
          <w:highlight w:val="none"/>
        </w:rPr>
        <w:t>《电力装置的继电保护和自动装置设计规范》</w:t>
      </w:r>
      <w:r>
        <w:rPr>
          <w:rFonts w:ascii="宋体" w:hAnsi="宋体" w:cs="宋体"/>
          <w:bCs/>
          <w:color w:val="auto"/>
          <w:sz w:val="28"/>
          <w:szCs w:val="28"/>
          <w:highlight w:val="none"/>
        </w:rPr>
        <w:t>GB/T50062-2008</w:t>
      </w:r>
      <w:bookmarkEnd w:id="590"/>
    </w:p>
    <w:p>
      <w:pPr>
        <w:pStyle w:val="32"/>
        <w:spacing w:line="560" w:lineRule="exact"/>
        <w:ind w:firstLine="31680"/>
        <w:jc w:val="left"/>
        <w:outlineLvl w:val="1"/>
        <w:rPr>
          <w:rFonts w:ascii="宋体" w:hAnsi="宋体" w:cs="宋体"/>
          <w:bCs/>
          <w:color w:val="auto"/>
          <w:sz w:val="28"/>
          <w:szCs w:val="28"/>
          <w:highlight w:val="none"/>
        </w:rPr>
      </w:pPr>
      <w:bookmarkStart w:id="591" w:name="_Toc13531"/>
      <w:r>
        <w:rPr>
          <w:rFonts w:hint="eastAsia" w:ascii="宋体" w:hAnsi="宋体" w:cs="宋体"/>
          <w:bCs/>
          <w:color w:val="auto"/>
          <w:sz w:val="28"/>
          <w:szCs w:val="28"/>
          <w:highlight w:val="none"/>
        </w:rPr>
        <w:t>《火灾自动报警系统设计规范》</w:t>
      </w:r>
      <w:r>
        <w:rPr>
          <w:rFonts w:ascii="宋体" w:hAnsi="宋体" w:cs="宋体"/>
          <w:bCs/>
          <w:color w:val="auto"/>
          <w:sz w:val="28"/>
          <w:szCs w:val="28"/>
          <w:highlight w:val="none"/>
        </w:rPr>
        <w:t>GB50116-2013</w:t>
      </w:r>
      <w:bookmarkEnd w:id="591"/>
    </w:p>
    <w:p>
      <w:pPr>
        <w:pStyle w:val="32"/>
        <w:spacing w:line="560" w:lineRule="exact"/>
        <w:ind w:firstLine="31680"/>
        <w:jc w:val="left"/>
        <w:outlineLvl w:val="1"/>
        <w:rPr>
          <w:rFonts w:ascii="宋体" w:hAnsi="宋体" w:cs="宋体"/>
          <w:bCs/>
          <w:color w:val="auto"/>
          <w:sz w:val="28"/>
          <w:szCs w:val="28"/>
          <w:highlight w:val="none"/>
        </w:rPr>
      </w:pPr>
      <w:bookmarkStart w:id="592" w:name="_Toc10373"/>
      <w:r>
        <w:rPr>
          <w:rFonts w:hint="eastAsia" w:ascii="宋体" w:hAnsi="宋体" w:cs="宋体"/>
          <w:bCs/>
          <w:color w:val="auto"/>
          <w:sz w:val="28"/>
          <w:szCs w:val="28"/>
          <w:highlight w:val="none"/>
        </w:rPr>
        <w:t>《工业企业电气设备抗震设计规范》</w:t>
      </w:r>
      <w:r>
        <w:rPr>
          <w:rFonts w:ascii="宋体" w:hAnsi="宋体" w:cs="宋体"/>
          <w:bCs/>
          <w:color w:val="auto"/>
          <w:sz w:val="28"/>
          <w:szCs w:val="28"/>
          <w:highlight w:val="none"/>
        </w:rPr>
        <w:t>GB50556-2010</w:t>
      </w:r>
      <w:bookmarkEnd w:id="592"/>
    </w:p>
    <w:p>
      <w:pPr>
        <w:pStyle w:val="32"/>
        <w:spacing w:line="560" w:lineRule="exact"/>
        <w:ind w:firstLine="31680"/>
        <w:jc w:val="left"/>
        <w:outlineLvl w:val="1"/>
        <w:rPr>
          <w:rFonts w:ascii="宋体" w:cs="宋体"/>
          <w:bCs/>
          <w:color w:val="auto"/>
          <w:sz w:val="28"/>
          <w:szCs w:val="28"/>
          <w:highlight w:val="none"/>
        </w:rPr>
      </w:pPr>
      <w:bookmarkStart w:id="593" w:name="_Toc31578"/>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）设计范围</w:t>
      </w:r>
      <w:bookmarkEnd w:id="562"/>
      <w:bookmarkEnd w:id="563"/>
      <w:bookmarkEnd w:id="593"/>
    </w:p>
    <w:p>
      <w:pPr>
        <w:pStyle w:val="32"/>
        <w:spacing w:line="560" w:lineRule="exact"/>
        <w:ind w:firstLine="31680"/>
        <w:jc w:val="left"/>
        <w:outlineLvl w:val="1"/>
        <w:rPr>
          <w:rFonts w:ascii="宋体" w:cs="宋体"/>
          <w:bCs/>
          <w:color w:val="auto"/>
          <w:sz w:val="28"/>
          <w:szCs w:val="28"/>
          <w:highlight w:val="none"/>
        </w:rPr>
      </w:pPr>
      <w:bookmarkStart w:id="594" w:name="_Toc14095"/>
      <w:bookmarkStart w:id="595" w:name="_Toc399683804"/>
      <w:bookmarkStart w:id="596" w:name="_Toc438214678"/>
      <w:r>
        <w:rPr>
          <w:rFonts w:hint="eastAsia" w:ascii="宋体" w:hAnsi="宋体" w:cs="宋体"/>
          <w:bCs/>
          <w:color w:val="auto"/>
          <w:sz w:val="28"/>
          <w:szCs w:val="28"/>
          <w:highlight w:val="none"/>
        </w:rPr>
        <w:t>本项目涉及的装置范围内用电设备、照明、防雷及接地的更新改造。</w:t>
      </w:r>
      <w:bookmarkEnd w:id="594"/>
    </w:p>
    <w:p>
      <w:pPr>
        <w:pStyle w:val="32"/>
        <w:spacing w:line="560" w:lineRule="exact"/>
        <w:ind w:firstLine="31680"/>
        <w:jc w:val="left"/>
        <w:outlineLvl w:val="1"/>
        <w:rPr>
          <w:rFonts w:ascii="宋体" w:cs="宋体"/>
          <w:bCs/>
          <w:color w:val="auto"/>
          <w:sz w:val="28"/>
          <w:szCs w:val="28"/>
          <w:highlight w:val="none"/>
        </w:rPr>
      </w:pPr>
      <w:bookmarkStart w:id="597" w:name="_Toc28224"/>
      <w:r>
        <w:rPr>
          <w:rFonts w:hint="eastAsia" w:ascii="宋体" w:hAnsi="宋体" w:cs="宋体"/>
          <w:bCs/>
          <w:color w:val="auto"/>
          <w:sz w:val="28"/>
          <w:szCs w:val="28"/>
          <w:highlight w:val="none"/>
        </w:rPr>
        <w:t>（</w:t>
      </w:r>
      <w:r>
        <w:rPr>
          <w:rFonts w:ascii="宋体" w:hAnsi="宋体" w:cs="宋体"/>
          <w:bCs/>
          <w:color w:val="auto"/>
          <w:sz w:val="28"/>
          <w:szCs w:val="28"/>
          <w:highlight w:val="none"/>
        </w:rPr>
        <w:t>3</w:t>
      </w:r>
      <w:r>
        <w:rPr>
          <w:rFonts w:hint="eastAsia" w:ascii="宋体" w:hAnsi="宋体" w:cs="宋体"/>
          <w:bCs/>
          <w:color w:val="auto"/>
          <w:sz w:val="28"/>
          <w:szCs w:val="28"/>
          <w:highlight w:val="none"/>
        </w:rPr>
        <w:t>）用电负荷情况</w:t>
      </w:r>
      <w:bookmarkEnd w:id="595"/>
      <w:bookmarkEnd w:id="596"/>
      <w:bookmarkEnd w:id="597"/>
    </w:p>
    <w:p>
      <w:pPr>
        <w:pStyle w:val="32"/>
        <w:spacing w:line="560" w:lineRule="exact"/>
        <w:ind w:firstLine="31680"/>
        <w:jc w:val="left"/>
        <w:outlineLvl w:val="1"/>
        <w:rPr>
          <w:rFonts w:ascii="宋体" w:cs="宋体"/>
          <w:bCs/>
          <w:color w:val="auto"/>
          <w:sz w:val="28"/>
          <w:szCs w:val="28"/>
          <w:highlight w:val="none"/>
        </w:rPr>
      </w:pPr>
      <w:bookmarkStart w:id="598" w:name="_Toc13547"/>
      <w:bookmarkStart w:id="599" w:name="_Toc399683805"/>
      <w:bookmarkStart w:id="600" w:name="_Toc438214679"/>
      <w:r>
        <w:rPr>
          <w:rFonts w:hint="eastAsia" w:ascii="宋体" w:hAnsi="宋体" w:cs="宋体"/>
          <w:bCs/>
          <w:color w:val="auto"/>
          <w:sz w:val="28"/>
          <w:szCs w:val="28"/>
          <w:highlight w:val="none"/>
        </w:rPr>
        <w:t>项目用电负荷等级为三级。设备负荷等级符合《供配电系统设计规范》</w:t>
      </w:r>
      <w:r>
        <w:rPr>
          <w:rFonts w:ascii="宋体" w:hAnsi="宋体" w:cs="宋体"/>
          <w:bCs/>
          <w:color w:val="auto"/>
          <w:sz w:val="28"/>
          <w:szCs w:val="28"/>
          <w:highlight w:val="none"/>
        </w:rPr>
        <w:t>(GB50052-2009)</w:t>
      </w:r>
      <w:r>
        <w:rPr>
          <w:rFonts w:hint="eastAsia" w:ascii="宋体" w:hAnsi="宋体" w:cs="宋体"/>
          <w:bCs/>
          <w:color w:val="auto"/>
          <w:sz w:val="28"/>
          <w:szCs w:val="28"/>
          <w:highlight w:val="none"/>
        </w:rPr>
        <w:t>的规定。</w:t>
      </w:r>
      <w:bookmarkEnd w:id="598"/>
    </w:p>
    <w:p>
      <w:pPr>
        <w:pStyle w:val="32"/>
        <w:spacing w:line="560" w:lineRule="exact"/>
        <w:ind w:firstLine="31680"/>
        <w:jc w:val="left"/>
        <w:outlineLvl w:val="1"/>
        <w:rPr>
          <w:rFonts w:ascii="宋体" w:cs="宋体"/>
          <w:bCs/>
          <w:color w:val="auto"/>
          <w:sz w:val="28"/>
          <w:szCs w:val="28"/>
          <w:highlight w:val="none"/>
        </w:rPr>
      </w:pPr>
      <w:bookmarkStart w:id="601" w:name="_Toc23205"/>
      <w:r>
        <w:rPr>
          <w:rFonts w:hint="eastAsia" w:ascii="宋体" w:hAnsi="宋体" w:cs="宋体"/>
          <w:bCs/>
          <w:color w:val="auto"/>
          <w:sz w:val="28"/>
          <w:szCs w:val="28"/>
          <w:highlight w:val="none"/>
        </w:rPr>
        <w:t>（</w:t>
      </w:r>
      <w:r>
        <w:rPr>
          <w:rFonts w:ascii="宋体" w:hAnsi="宋体" w:cs="宋体"/>
          <w:bCs/>
          <w:color w:val="auto"/>
          <w:sz w:val="28"/>
          <w:szCs w:val="28"/>
          <w:highlight w:val="none"/>
        </w:rPr>
        <w:t>4</w:t>
      </w:r>
      <w:r>
        <w:rPr>
          <w:rFonts w:hint="eastAsia" w:ascii="宋体" w:hAnsi="宋体" w:cs="宋体"/>
          <w:bCs/>
          <w:color w:val="auto"/>
          <w:sz w:val="28"/>
          <w:szCs w:val="28"/>
          <w:highlight w:val="none"/>
        </w:rPr>
        <w:t>）供电方案</w:t>
      </w:r>
      <w:bookmarkEnd w:id="599"/>
      <w:bookmarkEnd w:id="600"/>
      <w:bookmarkEnd w:id="601"/>
    </w:p>
    <w:p>
      <w:pPr>
        <w:pStyle w:val="32"/>
        <w:spacing w:line="560" w:lineRule="exact"/>
        <w:ind w:firstLine="31680"/>
        <w:jc w:val="left"/>
        <w:outlineLvl w:val="1"/>
        <w:rPr>
          <w:rFonts w:ascii="宋体" w:cs="宋体"/>
          <w:bCs/>
          <w:color w:val="auto"/>
          <w:sz w:val="28"/>
          <w:szCs w:val="28"/>
          <w:highlight w:val="none"/>
        </w:rPr>
      </w:pPr>
      <w:bookmarkStart w:id="602" w:name="_Toc250"/>
      <w:r>
        <w:rPr>
          <w:rFonts w:hint="eastAsia" w:ascii="宋体" w:hAnsi="宋体" w:cs="宋体"/>
          <w:bCs/>
          <w:color w:val="auto"/>
          <w:sz w:val="28"/>
          <w:szCs w:val="28"/>
          <w:highlight w:val="none"/>
        </w:rPr>
        <w:t>本工程电源落实可靠，供电能力有保障。</w:t>
      </w:r>
      <w:bookmarkEnd w:id="602"/>
    </w:p>
    <w:p>
      <w:pPr>
        <w:pStyle w:val="32"/>
        <w:spacing w:line="560" w:lineRule="exact"/>
        <w:ind w:firstLine="31680"/>
        <w:jc w:val="left"/>
        <w:outlineLvl w:val="1"/>
        <w:rPr>
          <w:rFonts w:ascii="宋体" w:cs="宋体"/>
          <w:bCs/>
          <w:color w:val="auto"/>
          <w:sz w:val="28"/>
          <w:szCs w:val="28"/>
          <w:highlight w:val="none"/>
        </w:rPr>
      </w:pPr>
      <w:bookmarkStart w:id="603" w:name="_Toc31071"/>
      <w:r>
        <w:rPr>
          <w:rFonts w:ascii="宋体" w:hAnsi="宋体" w:cs="宋体"/>
          <w:bCs/>
          <w:color w:val="auto"/>
          <w:sz w:val="28"/>
          <w:szCs w:val="28"/>
          <w:highlight w:val="none"/>
        </w:rPr>
        <w:t>1</w:t>
      </w:r>
      <w:r>
        <w:rPr>
          <w:rFonts w:hint="eastAsia" w:ascii="宋体" w:hAnsi="宋体" w:cs="宋体"/>
          <w:bCs/>
          <w:color w:val="auto"/>
          <w:sz w:val="28"/>
          <w:szCs w:val="28"/>
          <w:highlight w:val="none"/>
        </w:rPr>
        <w:t>）供电方案</w:t>
      </w:r>
      <w:bookmarkEnd w:id="603"/>
    </w:p>
    <w:p>
      <w:pPr>
        <w:pStyle w:val="32"/>
        <w:spacing w:line="560" w:lineRule="exact"/>
        <w:ind w:firstLine="31680"/>
        <w:jc w:val="left"/>
        <w:outlineLvl w:val="1"/>
        <w:rPr>
          <w:rFonts w:ascii="宋体" w:cs="宋体"/>
          <w:bCs/>
          <w:color w:val="auto"/>
          <w:sz w:val="28"/>
          <w:szCs w:val="28"/>
          <w:highlight w:val="none"/>
        </w:rPr>
      </w:pPr>
      <w:bookmarkStart w:id="604" w:name="_Toc30769"/>
      <w:r>
        <w:rPr>
          <w:rFonts w:hint="eastAsia" w:ascii="宋体" w:hAnsi="宋体" w:cs="宋体"/>
          <w:bCs/>
          <w:color w:val="auto"/>
          <w:sz w:val="28"/>
          <w:szCs w:val="28"/>
          <w:highlight w:val="none"/>
        </w:rPr>
        <w:t>该项目电力由镇江市电力公司提供。</w:t>
      </w:r>
      <w:bookmarkEnd w:id="604"/>
    </w:p>
    <w:p>
      <w:pPr>
        <w:pStyle w:val="32"/>
        <w:spacing w:line="560" w:lineRule="exact"/>
        <w:ind w:firstLine="31680"/>
        <w:jc w:val="left"/>
        <w:outlineLvl w:val="1"/>
        <w:rPr>
          <w:rFonts w:ascii="宋体" w:cs="宋体"/>
          <w:bCs/>
          <w:color w:val="auto"/>
          <w:sz w:val="28"/>
          <w:szCs w:val="28"/>
          <w:highlight w:val="none"/>
        </w:rPr>
      </w:pPr>
      <w:bookmarkStart w:id="605" w:name="_Toc1320"/>
      <w:r>
        <w:rPr>
          <w:rFonts w:hint="eastAsia" w:ascii="宋体" w:hAnsi="宋体" w:cs="宋体"/>
          <w:bCs/>
          <w:color w:val="auto"/>
          <w:sz w:val="28"/>
          <w:szCs w:val="28"/>
          <w:highlight w:val="none"/>
        </w:rPr>
        <w:t>镇江新区已建成四座</w:t>
      </w:r>
      <w:r>
        <w:rPr>
          <w:rFonts w:ascii="宋体" w:hAnsi="宋体" w:cs="宋体"/>
          <w:bCs/>
          <w:color w:val="auto"/>
          <w:sz w:val="28"/>
          <w:szCs w:val="28"/>
          <w:highlight w:val="none"/>
        </w:rPr>
        <w:t>110kVA</w:t>
      </w:r>
      <w:r>
        <w:rPr>
          <w:rFonts w:hint="eastAsia" w:ascii="宋体" w:hAnsi="宋体" w:cs="宋体"/>
          <w:bCs/>
          <w:color w:val="auto"/>
          <w:sz w:val="28"/>
          <w:szCs w:val="28"/>
          <w:highlight w:val="none"/>
        </w:rPr>
        <w:t>变电所和两座</w:t>
      </w:r>
      <w:r>
        <w:rPr>
          <w:rFonts w:ascii="宋体" w:hAnsi="宋体" w:cs="宋体"/>
          <w:bCs/>
          <w:color w:val="auto"/>
          <w:sz w:val="28"/>
          <w:szCs w:val="28"/>
          <w:highlight w:val="none"/>
        </w:rPr>
        <w:t>220kVA</w:t>
      </w:r>
      <w:r>
        <w:rPr>
          <w:rFonts w:hint="eastAsia" w:ascii="宋体" w:hAnsi="宋体" w:cs="宋体"/>
          <w:bCs/>
          <w:color w:val="auto"/>
          <w:sz w:val="28"/>
          <w:szCs w:val="28"/>
          <w:highlight w:val="none"/>
        </w:rPr>
        <w:t>变电所，华东地区最大的火力发电厂</w:t>
      </w:r>
      <w:r>
        <w:rPr>
          <w:rFonts w:ascii="宋体" w:hAnsi="宋体" w:cs="宋体"/>
          <w:bCs/>
          <w:color w:val="auto"/>
          <w:sz w:val="28"/>
          <w:szCs w:val="28"/>
          <w:highlight w:val="none"/>
        </w:rPr>
        <w:t>(</w:t>
      </w:r>
      <w:r>
        <w:rPr>
          <w:rFonts w:hint="eastAsia" w:ascii="宋体" w:hAnsi="宋体" w:cs="宋体"/>
          <w:bCs/>
          <w:color w:val="auto"/>
          <w:sz w:val="28"/>
          <w:szCs w:val="28"/>
          <w:highlight w:val="none"/>
        </w:rPr>
        <w:t>装机容量</w:t>
      </w:r>
      <w:r>
        <w:rPr>
          <w:rFonts w:ascii="宋体" w:hAnsi="宋体" w:cs="宋体"/>
          <w:bCs/>
          <w:color w:val="auto"/>
          <w:sz w:val="28"/>
          <w:szCs w:val="28"/>
          <w:highlight w:val="none"/>
        </w:rPr>
        <w:t>222.5</w:t>
      </w:r>
      <w:r>
        <w:rPr>
          <w:rFonts w:hint="eastAsia" w:ascii="宋体" w:hAnsi="宋体" w:cs="宋体"/>
          <w:bCs/>
          <w:color w:val="auto"/>
          <w:sz w:val="28"/>
          <w:szCs w:val="28"/>
          <w:highlight w:val="none"/>
        </w:rPr>
        <w:t>万</w:t>
      </w:r>
      <w:r>
        <w:rPr>
          <w:rFonts w:ascii="宋体" w:hAnsi="宋体" w:cs="宋体"/>
          <w:bCs/>
          <w:color w:val="auto"/>
          <w:sz w:val="28"/>
          <w:szCs w:val="28"/>
          <w:highlight w:val="none"/>
        </w:rPr>
        <w:t>kW</w:t>
      </w:r>
      <w:r>
        <w:rPr>
          <w:rFonts w:hint="eastAsia" w:ascii="宋体" w:hAnsi="宋体" w:cs="宋体"/>
          <w:bCs/>
          <w:color w:val="auto"/>
          <w:sz w:val="28"/>
          <w:szCs w:val="28"/>
          <w:highlight w:val="none"/>
        </w:rPr>
        <w:t>的谏壁发电厂</w:t>
      </w:r>
      <w:r>
        <w:rPr>
          <w:rFonts w:ascii="宋体" w:hAnsi="宋体" w:cs="宋体"/>
          <w:bCs/>
          <w:color w:val="auto"/>
          <w:sz w:val="28"/>
          <w:szCs w:val="28"/>
          <w:highlight w:val="none"/>
        </w:rPr>
        <w:t>)</w:t>
      </w:r>
      <w:r>
        <w:rPr>
          <w:rFonts w:hint="eastAsia" w:ascii="宋体" w:hAnsi="宋体" w:cs="宋体"/>
          <w:bCs/>
          <w:color w:val="auto"/>
          <w:sz w:val="28"/>
          <w:szCs w:val="28"/>
          <w:highlight w:val="none"/>
        </w:rPr>
        <w:t>紧邻新区，进区企业全部采用双回路供电供电。</w:t>
      </w:r>
      <w:bookmarkEnd w:id="605"/>
    </w:p>
    <w:p>
      <w:pPr>
        <w:pStyle w:val="32"/>
        <w:spacing w:line="560" w:lineRule="exact"/>
        <w:ind w:firstLine="31680"/>
        <w:jc w:val="left"/>
        <w:outlineLvl w:val="1"/>
        <w:rPr>
          <w:rFonts w:ascii="宋体" w:cs="宋体"/>
          <w:bCs/>
          <w:color w:val="auto"/>
          <w:sz w:val="28"/>
          <w:szCs w:val="28"/>
          <w:highlight w:val="none"/>
        </w:rPr>
      </w:pPr>
      <w:bookmarkStart w:id="606" w:name="_Toc15792"/>
      <w:r>
        <w:rPr>
          <w:rFonts w:hint="eastAsia" w:ascii="宋体" w:hAnsi="宋体" w:cs="宋体"/>
          <w:bCs/>
          <w:color w:val="auto"/>
          <w:sz w:val="28"/>
          <w:szCs w:val="28"/>
          <w:highlight w:val="none"/>
        </w:rPr>
        <w:t>本项目用电设备主要为新增机泵及照明用电，容量约</w:t>
      </w:r>
      <w:r>
        <w:rPr>
          <w:rFonts w:ascii="宋体" w:hAnsi="宋体" w:cs="宋体"/>
          <w:bCs/>
          <w:color w:val="auto"/>
          <w:sz w:val="28"/>
          <w:szCs w:val="28"/>
          <w:highlight w:val="none"/>
        </w:rPr>
        <w:t>40Kw</w:t>
      </w:r>
      <w:r>
        <w:rPr>
          <w:rFonts w:hint="eastAsia" w:ascii="宋体" w:hAnsi="宋体" w:cs="宋体"/>
          <w:bCs/>
          <w:color w:val="auto"/>
          <w:sz w:val="28"/>
          <w:szCs w:val="28"/>
          <w:highlight w:val="none"/>
        </w:rPr>
        <w:t>；拟从盐化事业部配电房引出一路电源至生产装置。</w:t>
      </w:r>
    </w:p>
    <w:bookmarkEnd w:id="606"/>
    <w:p>
      <w:pPr>
        <w:pStyle w:val="32"/>
        <w:spacing w:line="560" w:lineRule="exact"/>
        <w:ind w:firstLine="31680"/>
        <w:jc w:val="left"/>
        <w:outlineLvl w:val="1"/>
        <w:rPr>
          <w:rFonts w:ascii="宋体" w:cs="宋体"/>
          <w:bCs/>
          <w:color w:val="auto"/>
          <w:sz w:val="28"/>
          <w:szCs w:val="28"/>
          <w:highlight w:val="none"/>
        </w:rPr>
      </w:pPr>
      <w:bookmarkStart w:id="607" w:name="_Toc17086"/>
      <w:r>
        <w:rPr>
          <w:rFonts w:ascii="宋体" w:hAnsi="宋体" w:cs="宋体"/>
          <w:bCs/>
          <w:color w:val="auto"/>
          <w:sz w:val="28"/>
          <w:szCs w:val="28"/>
          <w:highlight w:val="none"/>
        </w:rPr>
        <w:t>2</w:t>
      </w:r>
      <w:r>
        <w:rPr>
          <w:rFonts w:hint="eastAsia" w:ascii="宋体" w:hAnsi="宋体" w:cs="宋体"/>
          <w:bCs/>
          <w:color w:val="auto"/>
          <w:sz w:val="28"/>
          <w:szCs w:val="28"/>
          <w:highlight w:val="none"/>
        </w:rPr>
        <w:t>）节电措施</w:t>
      </w:r>
      <w:bookmarkEnd w:id="607"/>
    </w:p>
    <w:p>
      <w:pPr>
        <w:pStyle w:val="32"/>
        <w:spacing w:line="560" w:lineRule="exact"/>
        <w:ind w:firstLine="31680"/>
        <w:jc w:val="left"/>
        <w:outlineLvl w:val="1"/>
        <w:rPr>
          <w:rFonts w:ascii="宋体" w:cs="宋体"/>
          <w:bCs/>
          <w:color w:val="auto"/>
          <w:spacing w:val="-6"/>
          <w:sz w:val="28"/>
          <w:szCs w:val="28"/>
          <w:highlight w:val="none"/>
        </w:rPr>
      </w:pPr>
      <w:bookmarkStart w:id="608" w:name="_Toc213"/>
      <w:r>
        <w:rPr>
          <w:rFonts w:hint="eastAsia" w:ascii="宋体" w:hAnsi="宋体" w:cs="宋体"/>
          <w:bCs/>
          <w:color w:val="auto"/>
          <w:sz w:val="28"/>
          <w:szCs w:val="28"/>
          <w:highlight w:val="none"/>
        </w:rPr>
        <w:t>为了节约电能，本工程中消耗电能较多的电气设备均为节能型。照明灯具采用高效节能光源；道路照明采用光控开关控制，避免白天开常明灯；电机选用高效电机，配置变频器；其它电气设备，在可能的情况</w:t>
      </w:r>
      <w:r>
        <w:rPr>
          <w:rFonts w:hint="eastAsia" w:ascii="宋体" w:hAnsi="宋体" w:cs="宋体"/>
          <w:bCs/>
          <w:color w:val="auto"/>
          <w:spacing w:val="-6"/>
          <w:sz w:val="28"/>
          <w:szCs w:val="28"/>
          <w:highlight w:val="none"/>
        </w:rPr>
        <w:t>下，尽可能采用节电型。</w:t>
      </w:r>
      <w:bookmarkEnd w:id="608"/>
    </w:p>
    <w:p>
      <w:pPr>
        <w:spacing w:line="560" w:lineRule="exact"/>
        <w:ind w:firstLine="536" w:firstLineChars="200"/>
        <w:textAlignment w:val="center"/>
        <w:rPr>
          <w:rFonts w:ascii="宋体" w:cs="宋体"/>
          <w:bCs/>
          <w:color w:val="auto"/>
          <w:spacing w:val="-6"/>
          <w:sz w:val="28"/>
          <w:szCs w:val="28"/>
          <w:highlight w:val="none"/>
        </w:rPr>
      </w:pPr>
      <w:bookmarkStart w:id="609" w:name="_Toc438214680"/>
      <w:bookmarkStart w:id="610" w:name="_Toc399683806"/>
      <w:r>
        <w:rPr>
          <w:rFonts w:ascii="宋体" w:hAnsi="宋体" w:cs="宋体"/>
          <w:bCs/>
          <w:color w:val="auto"/>
          <w:spacing w:val="-6"/>
          <w:sz w:val="28"/>
          <w:szCs w:val="28"/>
          <w:highlight w:val="none"/>
        </w:rPr>
        <w:t>8.1.3</w:t>
      </w:r>
      <w:r>
        <w:rPr>
          <w:rFonts w:hint="eastAsia" w:ascii="宋体" w:hAnsi="宋体" w:cs="宋体"/>
          <w:bCs/>
          <w:color w:val="auto"/>
          <w:spacing w:val="-6"/>
          <w:sz w:val="28"/>
          <w:szCs w:val="28"/>
          <w:highlight w:val="none"/>
        </w:rPr>
        <w:t>照明</w:t>
      </w:r>
      <w:bookmarkEnd w:id="609"/>
      <w:bookmarkEnd w:id="610"/>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w:t>
      </w:r>
      <w:r>
        <w:rPr>
          <w:rFonts w:ascii="宋体" w:hAnsi="宋体" w:cs="宋体"/>
          <w:bCs/>
          <w:color w:val="auto"/>
          <w:spacing w:val="-6"/>
          <w:sz w:val="28"/>
          <w:szCs w:val="28"/>
          <w:highlight w:val="none"/>
        </w:rPr>
        <w:t>1</w:t>
      </w:r>
      <w:r>
        <w:rPr>
          <w:rFonts w:hint="eastAsia" w:ascii="宋体" w:hAnsi="宋体" w:cs="宋体"/>
          <w:bCs/>
          <w:color w:val="auto"/>
          <w:spacing w:val="-6"/>
          <w:sz w:val="28"/>
          <w:szCs w:val="28"/>
          <w:highlight w:val="none"/>
        </w:rPr>
        <w:t>）照明电源</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装置内有照明配电箱，电源由变电所的照明配电柜供给。</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w:t>
      </w:r>
      <w:r>
        <w:rPr>
          <w:rFonts w:ascii="宋体" w:hAnsi="宋体" w:cs="宋体"/>
          <w:bCs/>
          <w:color w:val="auto"/>
          <w:spacing w:val="-6"/>
          <w:sz w:val="28"/>
          <w:szCs w:val="28"/>
          <w:highlight w:val="none"/>
        </w:rPr>
        <w:t>2</w:t>
      </w:r>
      <w:r>
        <w:rPr>
          <w:rFonts w:hint="eastAsia" w:ascii="宋体" w:hAnsi="宋体" w:cs="宋体"/>
          <w:bCs/>
          <w:color w:val="auto"/>
          <w:spacing w:val="-6"/>
          <w:sz w:val="28"/>
          <w:szCs w:val="28"/>
          <w:highlight w:val="none"/>
        </w:rPr>
        <w:t>）电源和灯具</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根据各生产岗位环境特征、使用要求配置合适的照明灯具和相应的电源。</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w:t>
      </w:r>
      <w:r>
        <w:rPr>
          <w:rFonts w:ascii="宋体" w:hAnsi="宋体" w:cs="宋体"/>
          <w:bCs/>
          <w:color w:val="auto"/>
          <w:spacing w:val="-6"/>
          <w:sz w:val="28"/>
          <w:szCs w:val="28"/>
          <w:highlight w:val="none"/>
        </w:rPr>
        <w:t>3</w:t>
      </w:r>
      <w:r>
        <w:rPr>
          <w:rFonts w:hint="eastAsia" w:ascii="宋体" w:hAnsi="宋体" w:cs="宋体"/>
          <w:bCs/>
          <w:color w:val="auto"/>
          <w:spacing w:val="-6"/>
          <w:sz w:val="28"/>
          <w:szCs w:val="28"/>
          <w:highlight w:val="none"/>
        </w:rPr>
        <w:t>）照明</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按《化工企业照明设计技术规定》（</w:t>
      </w:r>
      <w:r>
        <w:rPr>
          <w:rFonts w:ascii="宋体" w:hAnsi="宋体" w:cs="宋体"/>
          <w:bCs/>
          <w:color w:val="auto"/>
          <w:spacing w:val="-6"/>
          <w:sz w:val="28"/>
          <w:szCs w:val="28"/>
          <w:highlight w:val="none"/>
        </w:rPr>
        <w:t>HG/T20586-96</w:t>
      </w:r>
      <w:r>
        <w:rPr>
          <w:rFonts w:hint="eastAsia" w:ascii="宋体" w:hAnsi="宋体" w:cs="宋体"/>
          <w:bCs/>
          <w:color w:val="auto"/>
          <w:spacing w:val="-6"/>
          <w:sz w:val="28"/>
          <w:szCs w:val="28"/>
          <w:highlight w:val="none"/>
        </w:rPr>
        <w:t>）及工艺生产要求，照明标准原则确定为</w:t>
      </w:r>
      <w:r>
        <w:rPr>
          <w:rFonts w:ascii="宋体" w:hAnsi="宋体" w:cs="宋体"/>
          <w:bCs/>
          <w:color w:val="auto"/>
          <w:spacing w:val="-6"/>
          <w:sz w:val="28"/>
          <w:szCs w:val="28"/>
          <w:highlight w:val="none"/>
        </w:rPr>
        <w:t xml:space="preserve">: </w:t>
      </w:r>
      <w:r>
        <w:rPr>
          <w:rFonts w:hint="eastAsia" w:ascii="宋体" w:hAnsi="宋体" w:cs="宋体"/>
          <w:bCs/>
          <w:color w:val="auto"/>
          <w:spacing w:val="-6"/>
          <w:sz w:val="28"/>
          <w:szCs w:val="28"/>
          <w:highlight w:val="none"/>
        </w:rPr>
        <w:t>室外工作场所</w:t>
      </w:r>
      <w:r>
        <w:rPr>
          <w:rFonts w:ascii="宋体" w:hAnsi="宋体" w:cs="宋体"/>
          <w:bCs/>
          <w:color w:val="auto"/>
          <w:spacing w:val="-6"/>
          <w:sz w:val="28"/>
          <w:szCs w:val="28"/>
          <w:highlight w:val="none"/>
        </w:rPr>
        <w:t xml:space="preserve">  30  lm </w:t>
      </w:r>
      <w:r>
        <w:rPr>
          <w:rFonts w:hint="eastAsia" w:ascii="宋体" w:hAnsi="宋体" w:cs="宋体"/>
          <w:bCs/>
          <w:color w:val="auto"/>
          <w:spacing w:val="-6"/>
          <w:sz w:val="28"/>
          <w:szCs w:val="28"/>
          <w:highlight w:val="none"/>
        </w:rPr>
        <w:t>。</w:t>
      </w:r>
    </w:p>
    <w:p>
      <w:pPr>
        <w:spacing w:line="560" w:lineRule="exact"/>
        <w:ind w:firstLine="536" w:firstLineChars="200"/>
        <w:textAlignment w:val="center"/>
        <w:rPr>
          <w:rFonts w:ascii="宋体" w:cs="宋体"/>
          <w:bCs/>
          <w:color w:val="auto"/>
          <w:spacing w:val="-6"/>
          <w:sz w:val="28"/>
          <w:szCs w:val="28"/>
          <w:highlight w:val="none"/>
        </w:rPr>
      </w:pPr>
      <w:bookmarkStart w:id="611" w:name="_Toc438214681"/>
      <w:bookmarkStart w:id="612" w:name="_Toc399683807"/>
      <w:r>
        <w:rPr>
          <w:rFonts w:ascii="宋体" w:hAnsi="宋体" w:cs="宋体"/>
          <w:bCs/>
          <w:color w:val="auto"/>
          <w:spacing w:val="-6"/>
          <w:sz w:val="28"/>
          <w:szCs w:val="28"/>
          <w:highlight w:val="none"/>
        </w:rPr>
        <w:t>8.1.4</w:t>
      </w:r>
      <w:r>
        <w:rPr>
          <w:rFonts w:hint="eastAsia" w:ascii="宋体" w:hAnsi="宋体" w:cs="宋体"/>
          <w:bCs/>
          <w:color w:val="auto"/>
          <w:spacing w:val="-6"/>
          <w:sz w:val="28"/>
          <w:szCs w:val="28"/>
          <w:highlight w:val="none"/>
        </w:rPr>
        <w:t>防雷与接地</w:t>
      </w:r>
      <w:bookmarkEnd w:id="611"/>
      <w:bookmarkEnd w:id="612"/>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根据《建筑物防雷设计规范》、《化工企业静电接地设计规范》等规定，结合装置环境特征、当地气象条件及地质及雷电活动情况，防雷等级按第二类工业建、构筑物考虑，本工程所有工艺装置、设备、管道等均作防静电地，管道法兰应采用截面积不小于</w:t>
      </w:r>
      <w:r>
        <w:rPr>
          <w:rFonts w:ascii="宋体" w:hAnsi="宋体" w:cs="宋体"/>
          <w:bCs/>
          <w:color w:val="auto"/>
          <w:spacing w:val="-6"/>
          <w:sz w:val="28"/>
          <w:szCs w:val="28"/>
          <w:highlight w:val="none"/>
        </w:rPr>
        <w:t>6mm</w:t>
      </w:r>
      <w:r>
        <w:rPr>
          <w:rFonts w:ascii="宋体" w:hAnsi="宋体" w:cs="宋体"/>
          <w:bCs/>
          <w:color w:val="auto"/>
          <w:spacing w:val="-6"/>
          <w:sz w:val="28"/>
          <w:szCs w:val="28"/>
          <w:highlight w:val="none"/>
          <w:vertAlign w:val="superscript"/>
        </w:rPr>
        <w:t>2</w:t>
      </w:r>
      <w:r>
        <w:rPr>
          <w:rFonts w:hint="eastAsia" w:ascii="宋体" w:hAnsi="宋体" w:cs="宋体"/>
          <w:bCs/>
          <w:color w:val="auto"/>
          <w:spacing w:val="-6"/>
          <w:sz w:val="28"/>
          <w:szCs w:val="28"/>
          <w:highlight w:val="none"/>
        </w:rPr>
        <w:t>的铜片跨接。对于非金属管道采取屏蔽接地。防静电接地电阻≤</w:t>
      </w:r>
      <w:r>
        <w:rPr>
          <w:rFonts w:ascii="宋体" w:hAnsi="宋体" w:cs="宋体"/>
          <w:bCs/>
          <w:color w:val="auto"/>
          <w:spacing w:val="-6"/>
          <w:sz w:val="28"/>
          <w:szCs w:val="28"/>
          <w:highlight w:val="none"/>
        </w:rPr>
        <w:t>30</w:t>
      </w:r>
      <w:r>
        <w:rPr>
          <w:rFonts w:hint="eastAsia" w:ascii="宋体" w:hAnsi="宋体" w:cs="宋体"/>
          <w:bCs/>
          <w:color w:val="auto"/>
          <w:spacing w:val="-6"/>
          <w:sz w:val="28"/>
          <w:szCs w:val="28"/>
          <w:highlight w:val="none"/>
        </w:rPr>
        <w:t>欧姆，若与防雷接地共用接地装置，则接地电阻≤</w:t>
      </w:r>
      <w:r>
        <w:rPr>
          <w:rFonts w:ascii="宋体" w:hAnsi="宋体" w:cs="宋体"/>
          <w:bCs/>
          <w:color w:val="auto"/>
          <w:spacing w:val="-6"/>
          <w:sz w:val="28"/>
          <w:szCs w:val="28"/>
          <w:highlight w:val="none"/>
        </w:rPr>
        <w:t>10</w:t>
      </w:r>
      <w:r>
        <w:rPr>
          <w:rFonts w:hint="eastAsia" w:ascii="宋体" w:hAnsi="宋体" w:cs="宋体"/>
          <w:bCs/>
          <w:color w:val="auto"/>
          <w:spacing w:val="-6"/>
          <w:sz w:val="28"/>
          <w:szCs w:val="28"/>
          <w:highlight w:val="none"/>
        </w:rPr>
        <w:t>欧姆。</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静电接地线用</w:t>
      </w:r>
      <w:r>
        <w:rPr>
          <w:rFonts w:ascii="宋体" w:hAnsi="宋体" w:cs="宋体"/>
          <w:bCs/>
          <w:color w:val="auto"/>
          <w:spacing w:val="-6"/>
          <w:sz w:val="28"/>
          <w:szCs w:val="28"/>
          <w:highlight w:val="none"/>
        </w:rPr>
        <w:t>25*4mm</w:t>
      </w:r>
      <w:r>
        <w:rPr>
          <w:rFonts w:hint="eastAsia" w:ascii="宋体" w:hAnsi="宋体" w:cs="宋体"/>
          <w:bCs/>
          <w:color w:val="auto"/>
          <w:spacing w:val="-6"/>
          <w:sz w:val="28"/>
          <w:szCs w:val="28"/>
          <w:highlight w:val="none"/>
        </w:rPr>
        <w:t>热镀锌扁钢，接地线与设备和工艺管道用软铜线连接。具有火灾爆炸危险的场所，以及静电危害人身安全的作业区，所有金属用具、移动式金属车辆、梯子、钢体平台等均应静电接地。</w:t>
      </w:r>
    </w:p>
    <w:p>
      <w:pPr>
        <w:spacing w:line="560" w:lineRule="exact"/>
        <w:ind w:firstLine="536" w:firstLineChars="200"/>
        <w:textAlignment w:val="center"/>
        <w:rPr>
          <w:rFonts w:ascii="宋体" w:cs="宋体"/>
          <w:bCs/>
          <w:color w:val="auto"/>
          <w:spacing w:val="-6"/>
          <w:sz w:val="28"/>
          <w:szCs w:val="28"/>
          <w:highlight w:val="none"/>
        </w:rPr>
      </w:pPr>
      <w:bookmarkStart w:id="613" w:name="_Toc438214682"/>
      <w:bookmarkStart w:id="614" w:name="_Toc399683808"/>
      <w:r>
        <w:rPr>
          <w:rFonts w:ascii="宋体" w:hAnsi="宋体" w:cs="宋体"/>
          <w:bCs/>
          <w:color w:val="auto"/>
          <w:spacing w:val="-6"/>
          <w:sz w:val="28"/>
          <w:szCs w:val="28"/>
          <w:highlight w:val="none"/>
        </w:rPr>
        <w:t>8.1.5</w:t>
      </w:r>
      <w:r>
        <w:rPr>
          <w:rFonts w:hint="eastAsia" w:ascii="宋体" w:hAnsi="宋体" w:cs="宋体"/>
          <w:bCs/>
          <w:color w:val="auto"/>
          <w:spacing w:val="-6"/>
          <w:sz w:val="28"/>
          <w:szCs w:val="28"/>
          <w:highlight w:val="none"/>
        </w:rPr>
        <w:t>主要电气设备选择</w:t>
      </w:r>
      <w:bookmarkEnd w:id="613"/>
      <w:bookmarkEnd w:id="614"/>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w:t>
      </w:r>
      <w:r>
        <w:rPr>
          <w:rFonts w:ascii="宋体" w:hAnsi="宋体" w:cs="宋体"/>
          <w:bCs/>
          <w:color w:val="auto"/>
          <w:spacing w:val="-6"/>
          <w:sz w:val="28"/>
          <w:szCs w:val="28"/>
          <w:highlight w:val="none"/>
        </w:rPr>
        <w:t>1</w:t>
      </w:r>
      <w:r>
        <w:rPr>
          <w:rFonts w:hint="eastAsia" w:ascii="宋体" w:hAnsi="宋体" w:cs="宋体"/>
          <w:bCs/>
          <w:color w:val="auto"/>
          <w:spacing w:val="-6"/>
          <w:sz w:val="28"/>
          <w:szCs w:val="28"/>
          <w:highlight w:val="none"/>
        </w:rPr>
        <w:t>）主要电气设备选择</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装置的生产过程中电气设备的选择除按常规的电气机械参数选择外，还必须根据环境特点满足环境的产品。</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w:t>
      </w:r>
      <w:r>
        <w:rPr>
          <w:rFonts w:ascii="宋体" w:hAnsi="宋体" w:cs="宋体"/>
          <w:bCs/>
          <w:color w:val="auto"/>
          <w:spacing w:val="-6"/>
          <w:sz w:val="28"/>
          <w:szCs w:val="28"/>
          <w:highlight w:val="none"/>
        </w:rPr>
        <w:t>2</w:t>
      </w:r>
      <w:r>
        <w:rPr>
          <w:rFonts w:hint="eastAsia" w:ascii="宋体" w:hAnsi="宋体" w:cs="宋体"/>
          <w:bCs/>
          <w:color w:val="auto"/>
          <w:spacing w:val="-6"/>
          <w:sz w:val="28"/>
          <w:szCs w:val="28"/>
          <w:highlight w:val="none"/>
        </w:rPr>
        <w:t>）主要电气设备选型</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用电设备的控制方式均为现场控制。</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动力与控制电缆采用阻燃型，电缆敷设方式采用沿电缆桥架敷设，局部穿保护钢管敷设。</w:t>
      </w:r>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车间出入口设置应急照明。</w:t>
      </w:r>
    </w:p>
    <w:p>
      <w:pPr>
        <w:spacing w:line="560" w:lineRule="exact"/>
        <w:ind w:firstLine="536" w:firstLineChars="200"/>
        <w:textAlignment w:val="center"/>
        <w:rPr>
          <w:rFonts w:ascii="宋体" w:cs="宋体"/>
          <w:bCs/>
          <w:color w:val="auto"/>
          <w:spacing w:val="-6"/>
          <w:sz w:val="28"/>
          <w:szCs w:val="28"/>
          <w:highlight w:val="none"/>
        </w:rPr>
      </w:pPr>
      <w:bookmarkStart w:id="615" w:name="_Toc399683809"/>
      <w:bookmarkStart w:id="616" w:name="_Toc438214683"/>
      <w:r>
        <w:rPr>
          <w:rFonts w:hint="eastAsia" w:ascii="宋体" w:hAnsi="宋体" w:cs="宋体"/>
          <w:bCs/>
          <w:color w:val="auto"/>
          <w:spacing w:val="-6"/>
          <w:sz w:val="28"/>
          <w:szCs w:val="28"/>
          <w:highlight w:val="none"/>
        </w:rPr>
        <w:t>防爆区域内照明灯具、照明开关控制柜及照明开关应选用防爆型。</w:t>
      </w:r>
    </w:p>
    <w:bookmarkEnd w:id="615"/>
    <w:bookmarkEnd w:id="616"/>
    <w:p>
      <w:pPr>
        <w:spacing w:line="560" w:lineRule="exact"/>
        <w:ind w:firstLine="536" w:firstLineChars="200"/>
        <w:textAlignment w:val="center"/>
        <w:outlineLvl w:val="1"/>
        <w:rPr>
          <w:rFonts w:ascii="宋体" w:cs="宋体"/>
          <w:bCs/>
          <w:color w:val="auto"/>
          <w:spacing w:val="-6"/>
          <w:sz w:val="28"/>
          <w:szCs w:val="28"/>
          <w:highlight w:val="none"/>
        </w:rPr>
      </w:pPr>
      <w:bookmarkStart w:id="617" w:name="_Toc4920"/>
      <w:bookmarkStart w:id="618" w:name="_Toc12907_WPSOffice_Level2"/>
      <w:bookmarkStart w:id="619" w:name="_Toc32595_WPSOffice_Level2"/>
      <w:bookmarkStart w:id="620" w:name="_Toc30771"/>
      <w:bookmarkStart w:id="621" w:name="_Toc11196_WPSOffice_Level2"/>
      <w:bookmarkStart w:id="622" w:name="_Toc32304"/>
      <w:bookmarkStart w:id="623" w:name="_Toc438214684"/>
      <w:bookmarkStart w:id="624" w:name="_Toc25067"/>
      <w:bookmarkStart w:id="625" w:name="_Toc24431_WPSOffice_Level2"/>
      <w:bookmarkStart w:id="626" w:name="_Toc26240"/>
      <w:r>
        <w:rPr>
          <w:rFonts w:ascii="宋体" w:hAnsi="宋体" w:cs="宋体"/>
          <w:bCs/>
          <w:color w:val="auto"/>
          <w:spacing w:val="-6"/>
          <w:sz w:val="28"/>
          <w:szCs w:val="28"/>
          <w:highlight w:val="none"/>
        </w:rPr>
        <w:t>8.2</w:t>
      </w:r>
      <w:r>
        <w:rPr>
          <w:rFonts w:hint="eastAsia" w:ascii="宋体" w:hAnsi="宋体" w:cs="宋体"/>
          <w:bCs/>
          <w:color w:val="auto"/>
          <w:spacing w:val="-6"/>
          <w:sz w:val="28"/>
          <w:szCs w:val="28"/>
          <w:highlight w:val="none"/>
        </w:rPr>
        <w:t>辅助生产设施</w:t>
      </w:r>
      <w:bookmarkEnd w:id="617"/>
      <w:bookmarkEnd w:id="618"/>
      <w:bookmarkEnd w:id="619"/>
      <w:bookmarkEnd w:id="620"/>
      <w:bookmarkEnd w:id="621"/>
      <w:bookmarkEnd w:id="622"/>
      <w:bookmarkEnd w:id="623"/>
      <w:bookmarkEnd w:id="624"/>
      <w:bookmarkEnd w:id="625"/>
      <w:bookmarkEnd w:id="626"/>
    </w:p>
    <w:p>
      <w:pPr>
        <w:spacing w:line="560" w:lineRule="exact"/>
        <w:ind w:firstLine="536" w:firstLineChars="200"/>
        <w:textAlignment w:val="center"/>
        <w:rPr>
          <w:rFonts w:ascii="宋体" w:cs="宋体"/>
          <w:bCs/>
          <w:color w:val="auto"/>
          <w:spacing w:val="-6"/>
          <w:sz w:val="28"/>
          <w:szCs w:val="28"/>
          <w:highlight w:val="none"/>
        </w:rPr>
      </w:pPr>
      <w:bookmarkStart w:id="627" w:name="_Toc438214685"/>
      <w:bookmarkStart w:id="628" w:name="_Toc399683811"/>
      <w:r>
        <w:rPr>
          <w:rFonts w:ascii="宋体" w:hAnsi="宋体" w:cs="宋体"/>
          <w:bCs/>
          <w:color w:val="auto"/>
          <w:spacing w:val="-6"/>
          <w:sz w:val="28"/>
          <w:szCs w:val="28"/>
          <w:highlight w:val="none"/>
        </w:rPr>
        <w:t>8.2.1</w:t>
      </w:r>
      <w:r>
        <w:rPr>
          <w:rFonts w:hint="eastAsia" w:ascii="宋体" w:hAnsi="宋体" w:cs="宋体"/>
          <w:bCs/>
          <w:color w:val="auto"/>
          <w:spacing w:val="-6"/>
          <w:sz w:val="28"/>
          <w:szCs w:val="28"/>
          <w:highlight w:val="none"/>
        </w:rPr>
        <w:t>电信</w:t>
      </w:r>
      <w:bookmarkEnd w:id="627"/>
      <w:bookmarkEnd w:id="628"/>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本界区内行政电话、调度电话依托公司，依靠现有电信系统设施。</w:t>
      </w:r>
    </w:p>
    <w:p>
      <w:pPr>
        <w:spacing w:line="560" w:lineRule="exact"/>
        <w:ind w:firstLine="536" w:firstLineChars="200"/>
        <w:textAlignment w:val="center"/>
        <w:rPr>
          <w:rFonts w:ascii="宋体" w:cs="宋体"/>
          <w:bCs/>
          <w:color w:val="auto"/>
          <w:spacing w:val="-6"/>
          <w:sz w:val="28"/>
          <w:szCs w:val="28"/>
          <w:highlight w:val="none"/>
        </w:rPr>
      </w:pPr>
      <w:bookmarkStart w:id="629" w:name="_Toc438214686"/>
      <w:bookmarkStart w:id="630" w:name="_Toc399683812"/>
      <w:r>
        <w:rPr>
          <w:rFonts w:ascii="宋体" w:hAnsi="宋体" w:cs="宋体"/>
          <w:bCs/>
          <w:color w:val="auto"/>
          <w:spacing w:val="-6"/>
          <w:sz w:val="28"/>
          <w:szCs w:val="28"/>
          <w:highlight w:val="none"/>
        </w:rPr>
        <w:t>8.2.2</w:t>
      </w:r>
      <w:r>
        <w:rPr>
          <w:rFonts w:hint="eastAsia" w:ascii="宋体" w:hAnsi="宋体" w:cs="宋体"/>
          <w:bCs/>
          <w:color w:val="auto"/>
          <w:spacing w:val="-6"/>
          <w:sz w:val="28"/>
          <w:szCs w:val="28"/>
          <w:highlight w:val="none"/>
        </w:rPr>
        <w:t>维修</w:t>
      </w:r>
      <w:bookmarkEnd w:id="629"/>
      <w:bookmarkEnd w:id="630"/>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对于装置区内机、电、仪设备的维修，依托江苏索普新材料科技有限公司的维修设施及机、电、仪修理工，同时承担装置内机、电、仪设备的日常维护和备品备件的更换工作，以及进行日常巡回检查，保证机、电、仪设备正常运行。</w:t>
      </w:r>
    </w:p>
    <w:p>
      <w:pPr>
        <w:spacing w:line="560" w:lineRule="exact"/>
        <w:ind w:firstLine="536" w:firstLineChars="200"/>
        <w:textAlignment w:val="center"/>
        <w:rPr>
          <w:rFonts w:ascii="宋体" w:cs="宋体"/>
          <w:bCs/>
          <w:color w:val="auto"/>
          <w:spacing w:val="-6"/>
          <w:sz w:val="28"/>
          <w:szCs w:val="28"/>
          <w:highlight w:val="none"/>
        </w:rPr>
      </w:pPr>
      <w:bookmarkStart w:id="631" w:name="_Toc438214687"/>
      <w:bookmarkStart w:id="632" w:name="_Toc399683813"/>
      <w:r>
        <w:rPr>
          <w:rFonts w:ascii="宋体" w:hAnsi="宋体" w:cs="宋体"/>
          <w:bCs/>
          <w:color w:val="auto"/>
          <w:spacing w:val="-6"/>
          <w:sz w:val="28"/>
          <w:szCs w:val="28"/>
          <w:highlight w:val="none"/>
        </w:rPr>
        <w:t>8.2.3</w:t>
      </w:r>
      <w:r>
        <w:rPr>
          <w:rFonts w:hint="eastAsia" w:ascii="宋体" w:hAnsi="宋体" w:cs="宋体"/>
          <w:bCs/>
          <w:color w:val="auto"/>
          <w:spacing w:val="-6"/>
          <w:sz w:val="28"/>
          <w:szCs w:val="28"/>
          <w:highlight w:val="none"/>
        </w:rPr>
        <w:t>分析化验</w:t>
      </w:r>
      <w:bookmarkEnd w:id="631"/>
      <w:bookmarkEnd w:id="632"/>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本项目的分析化验依托公司分析化验部门。</w:t>
      </w:r>
    </w:p>
    <w:p>
      <w:pPr>
        <w:spacing w:line="560" w:lineRule="exact"/>
        <w:ind w:firstLine="536" w:firstLineChars="200"/>
        <w:textAlignment w:val="center"/>
        <w:rPr>
          <w:rFonts w:ascii="宋体" w:cs="宋体"/>
          <w:bCs/>
          <w:color w:val="auto"/>
          <w:spacing w:val="-6"/>
          <w:sz w:val="28"/>
          <w:szCs w:val="28"/>
          <w:highlight w:val="none"/>
        </w:rPr>
      </w:pPr>
      <w:bookmarkStart w:id="633" w:name="_Toc15770"/>
      <w:r>
        <w:rPr>
          <w:rFonts w:ascii="宋体" w:hAnsi="宋体" w:cs="宋体"/>
          <w:bCs/>
          <w:color w:val="auto"/>
          <w:spacing w:val="-6"/>
          <w:sz w:val="28"/>
          <w:szCs w:val="28"/>
          <w:highlight w:val="none"/>
        </w:rPr>
        <w:t>8.2.4</w:t>
      </w:r>
      <w:r>
        <w:rPr>
          <w:rFonts w:hint="eastAsia" w:ascii="宋体" w:hAnsi="宋体" w:cs="宋体"/>
          <w:bCs/>
          <w:color w:val="auto"/>
          <w:spacing w:val="-6"/>
          <w:sz w:val="28"/>
          <w:szCs w:val="28"/>
          <w:highlight w:val="none"/>
        </w:rPr>
        <w:t>生活福利设施</w:t>
      </w:r>
      <w:bookmarkEnd w:id="633"/>
    </w:p>
    <w:p>
      <w:pPr>
        <w:spacing w:line="560" w:lineRule="exact"/>
        <w:ind w:firstLine="536" w:firstLineChars="200"/>
        <w:textAlignment w:val="center"/>
        <w:rPr>
          <w:rFonts w:ascii="宋体" w:cs="宋体"/>
          <w:bCs/>
          <w:color w:val="auto"/>
          <w:spacing w:val="-6"/>
          <w:sz w:val="28"/>
          <w:szCs w:val="28"/>
          <w:highlight w:val="none"/>
        </w:rPr>
      </w:pPr>
      <w:r>
        <w:rPr>
          <w:rFonts w:hint="eastAsia" w:ascii="宋体" w:hAnsi="宋体" w:cs="宋体"/>
          <w:bCs/>
          <w:color w:val="auto"/>
          <w:spacing w:val="-6"/>
          <w:sz w:val="28"/>
          <w:szCs w:val="28"/>
          <w:highlight w:val="none"/>
        </w:rPr>
        <w:t>生活福利设施如厂区内的办公、食堂、浴室依托原有设施。</w:t>
      </w:r>
    </w:p>
    <w:p>
      <w:pPr>
        <w:spacing w:line="560" w:lineRule="exact"/>
        <w:ind w:firstLine="560" w:firstLineChars="200"/>
        <w:rPr>
          <w:color w:val="auto"/>
          <w:sz w:val="28"/>
          <w:szCs w:val="28"/>
          <w:highlight w:val="none"/>
        </w:rPr>
      </w:pPr>
    </w:p>
    <w:p>
      <w:pPr>
        <w:pStyle w:val="34"/>
        <w:rPr>
          <w:color w:val="auto"/>
          <w:highlight w:val="none"/>
        </w:rPr>
        <w:sectPr>
          <w:headerReference r:id="rId6" w:type="default"/>
          <w:footerReference r:id="rId7" w:type="default"/>
          <w:pgSz w:w="11906" w:h="16838"/>
          <w:pgMar w:top="1440" w:right="1800" w:bottom="1440" w:left="1800" w:header="851" w:footer="992" w:gutter="0"/>
          <w:cols w:space="425" w:num="1"/>
          <w:docGrid w:type="lines" w:linePitch="312" w:charSpace="0"/>
        </w:sectPr>
      </w:pPr>
    </w:p>
    <w:p>
      <w:pPr>
        <w:pStyle w:val="2"/>
        <w:spacing w:before="0" w:after="0" w:line="560" w:lineRule="exact"/>
        <w:jc w:val="center"/>
        <w:rPr>
          <w:rFonts w:ascii="宋体" w:cs="宋体"/>
          <w:color w:val="auto"/>
          <w:sz w:val="32"/>
          <w:szCs w:val="32"/>
          <w:highlight w:val="none"/>
          <w:lang w:val="zh-CN"/>
        </w:rPr>
      </w:pPr>
      <w:bookmarkStart w:id="634" w:name="_Toc19672"/>
      <w:bookmarkStart w:id="635" w:name="_Toc6341"/>
      <w:r>
        <w:rPr>
          <w:rFonts w:hint="eastAsia" w:ascii="宋体" w:hAnsi="宋体" w:cs="宋体"/>
          <w:color w:val="auto"/>
          <w:sz w:val="32"/>
          <w:szCs w:val="32"/>
          <w:highlight w:val="none"/>
          <w:lang w:val="zh-CN"/>
        </w:rPr>
        <w:t>第九章</w:t>
      </w:r>
      <w:r>
        <w:rPr>
          <w:rFonts w:ascii="宋体" w:hAnsi="宋体" w:cs="宋体"/>
          <w:color w:val="auto"/>
          <w:sz w:val="32"/>
          <w:szCs w:val="32"/>
          <w:highlight w:val="none"/>
          <w:lang w:val="zh-CN"/>
        </w:rPr>
        <w:t xml:space="preserve"> </w:t>
      </w:r>
      <w:r>
        <w:rPr>
          <w:rFonts w:hint="eastAsia" w:ascii="宋体" w:hAnsi="宋体" w:cs="宋体"/>
          <w:color w:val="auto"/>
          <w:sz w:val="32"/>
          <w:szCs w:val="32"/>
          <w:highlight w:val="none"/>
          <w:lang w:val="zh-CN"/>
        </w:rPr>
        <w:t>节能</w:t>
      </w:r>
      <w:bookmarkEnd w:id="634"/>
      <w:bookmarkEnd w:id="635"/>
    </w:p>
    <w:p>
      <w:pPr>
        <w:pStyle w:val="32"/>
        <w:numPr>
          <w:ilvl w:val="0"/>
          <w:numId w:val="2"/>
        </w:numPr>
        <w:spacing w:line="560" w:lineRule="exact"/>
        <w:ind w:firstLine="31680"/>
        <w:jc w:val="left"/>
        <w:outlineLvl w:val="1"/>
        <w:rPr>
          <w:rStyle w:val="43"/>
          <w:rFonts w:ascii="宋体" w:hAnsi="Calibri" w:eastAsia="宋体" w:cs="宋体"/>
          <w:vanish/>
          <w:color w:val="auto"/>
          <w:sz w:val="28"/>
          <w:szCs w:val="28"/>
          <w:highlight w:val="none"/>
        </w:rPr>
      </w:pPr>
      <w:bookmarkStart w:id="636" w:name="_Toc467420258"/>
      <w:bookmarkEnd w:id="636"/>
      <w:bookmarkStart w:id="637" w:name="_Toc485072476"/>
      <w:bookmarkEnd w:id="637"/>
      <w:bookmarkStart w:id="638" w:name="_Toc485073082"/>
      <w:bookmarkEnd w:id="638"/>
      <w:bookmarkStart w:id="639" w:name="_Toc485139331"/>
      <w:bookmarkEnd w:id="639"/>
      <w:bookmarkStart w:id="640" w:name="_Toc485072880"/>
      <w:bookmarkEnd w:id="640"/>
      <w:bookmarkStart w:id="641" w:name="_Toc18665"/>
      <w:bookmarkEnd w:id="641"/>
      <w:bookmarkStart w:id="642" w:name="_Toc475520059"/>
      <w:bookmarkEnd w:id="642"/>
      <w:bookmarkStart w:id="643" w:name="_Toc30182"/>
      <w:bookmarkEnd w:id="643"/>
      <w:bookmarkStart w:id="644" w:name="_Toc485071588"/>
      <w:bookmarkEnd w:id="644"/>
      <w:bookmarkStart w:id="645" w:name="_Toc20317"/>
      <w:bookmarkEnd w:id="645"/>
      <w:bookmarkStart w:id="646" w:name="_Toc486495332"/>
      <w:bookmarkEnd w:id="646"/>
      <w:bookmarkStart w:id="647" w:name="_Toc485071790"/>
      <w:bookmarkEnd w:id="647"/>
      <w:bookmarkStart w:id="648" w:name="_Toc468190031"/>
      <w:bookmarkEnd w:id="648"/>
      <w:bookmarkStart w:id="649" w:name="_Toc486495602"/>
      <w:bookmarkEnd w:id="649"/>
      <w:bookmarkStart w:id="650" w:name="_Toc492900271"/>
      <w:bookmarkEnd w:id="650"/>
      <w:bookmarkStart w:id="651" w:name="_Toc467419413"/>
      <w:bookmarkEnd w:id="651"/>
      <w:bookmarkStart w:id="652" w:name="_Toc497731173"/>
      <w:bookmarkEnd w:id="652"/>
      <w:bookmarkStart w:id="653" w:name="_Toc485131185"/>
      <w:bookmarkEnd w:id="653"/>
      <w:bookmarkStart w:id="654" w:name="_Toc474941277"/>
      <w:bookmarkEnd w:id="654"/>
      <w:bookmarkStart w:id="655" w:name="_Toc32081"/>
      <w:bookmarkEnd w:id="655"/>
      <w:bookmarkStart w:id="656" w:name="_Toc493755172"/>
      <w:bookmarkEnd w:id="656"/>
      <w:bookmarkStart w:id="657" w:name="_Toc496512755"/>
      <w:bookmarkEnd w:id="657"/>
      <w:bookmarkStart w:id="658" w:name="_Toc485148786"/>
      <w:bookmarkEnd w:id="658"/>
      <w:bookmarkStart w:id="659" w:name="_Toc485130982"/>
      <w:bookmarkEnd w:id="659"/>
      <w:bookmarkStart w:id="660" w:name="_Toc467418886"/>
      <w:bookmarkEnd w:id="660"/>
      <w:bookmarkStart w:id="661" w:name="_Toc472090924"/>
      <w:bookmarkEnd w:id="661"/>
      <w:bookmarkStart w:id="662" w:name="_Toc470509349"/>
      <w:bookmarkEnd w:id="662"/>
      <w:bookmarkStart w:id="663" w:name="_Toc485079155"/>
      <w:bookmarkEnd w:id="663"/>
      <w:bookmarkStart w:id="664" w:name="_Toc485072678"/>
      <w:bookmarkEnd w:id="664"/>
      <w:bookmarkStart w:id="665" w:name="_Toc472090499"/>
      <w:bookmarkEnd w:id="665"/>
      <w:bookmarkStart w:id="666" w:name="_Toc485139533"/>
      <w:bookmarkEnd w:id="666"/>
    </w:p>
    <w:p>
      <w:pPr>
        <w:pStyle w:val="33"/>
        <w:spacing w:line="560" w:lineRule="exact"/>
        <w:ind w:firstLine="31680"/>
        <w:outlineLvl w:val="1"/>
        <w:rPr>
          <w:rFonts w:ascii="宋体" w:cs="宋体"/>
          <w:color w:val="auto"/>
          <w:sz w:val="28"/>
          <w:szCs w:val="28"/>
          <w:highlight w:val="none"/>
        </w:rPr>
      </w:pPr>
      <w:bookmarkStart w:id="667" w:name="_Toc25317"/>
      <w:bookmarkStart w:id="668" w:name="_Toc21617"/>
      <w:bookmarkStart w:id="669" w:name="_Toc25273"/>
      <w:bookmarkStart w:id="670" w:name="_Toc502755672"/>
      <w:bookmarkStart w:id="671" w:name="_Toc503433277"/>
      <w:bookmarkStart w:id="672" w:name="_Toc10735"/>
      <w:bookmarkStart w:id="673" w:name="_Toc26885"/>
      <w:bookmarkStart w:id="674" w:name="_Toc21970"/>
      <w:bookmarkStart w:id="675" w:name="_Toc22722"/>
      <w:bookmarkStart w:id="676" w:name="_Toc22928"/>
      <w:r>
        <w:rPr>
          <w:rFonts w:ascii="宋体" w:hAnsi="宋体" w:cs="宋体"/>
          <w:color w:val="auto"/>
          <w:sz w:val="28"/>
          <w:szCs w:val="28"/>
          <w:highlight w:val="none"/>
        </w:rPr>
        <w:t xml:space="preserve">9.1 </w:t>
      </w:r>
      <w:r>
        <w:rPr>
          <w:rFonts w:hint="eastAsia" w:ascii="宋体" w:hAnsi="宋体" w:cs="宋体"/>
          <w:color w:val="auto"/>
          <w:sz w:val="28"/>
          <w:szCs w:val="28"/>
          <w:highlight w:val="none"/>
        </w:rPr>
        <w:t>项目能源消费情况</w:t>
      </w:r>
      <w:bookmarkEnd w:id="667"/>
      <w:bookmarkEnd w:id="668"/>
      <w:bookmarkEnd w:id="669"/>
      <w:bookmarkEnd w:id="670"/>
      <w:bookmarkEnd w:id="671"/>
      <w:bookmarkEnd w:id="672"/>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依据《综合能耗计算通则》（</w:t>
      </w:r>
      <w:r>
        <w:rPr>
          <w:rFonts w:ascii="宋体" w:hAnsi="宋体" w:cs="宋体"/>
          <w:color w:val="auto"/>
          <w:sz w:val="28"/>
          <w:szCs w:val="28"/>
          <w:highlight w:val="none"/>
        </w:rPr>
        <w:t>GB/T2589-2020</w:t>
      </w:r>
      <w:r>
        <w:rPr>
          <w:rFonts w:hint="eastAsia" w:ascii="宋体" w:hAnsi="宋体" w:cs="宋体"/>
          <w:color w:val="auto"/>
          <w:sz w:val="28"/>
          <w:szCs w:val="28"/>
          <w:highlight w:val="none"/>
        </w:rPr>
        <w:t>），综合能耗计算的能源指用能单位实际消耗的各种能源，包括主要生产系统、辅助生产系统和附属生产系统用能以及用作原料的能源。</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本项目生产过程中实际消耗的能源品种有：</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☆二次能源：电力</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☆耗能工质：新鲜水、压缩空气、仪表空气、氮气</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耗能工质中的压缩空气、仪表空气、氮气为项目界区内的自产能源及耗能工质，其用能已计入电耗，不再重复计。</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因此，纳入项目能源折算分析的耗能品种为：电力。</w:t>
      </w:r>
    </w:p>
    <w:bookmarkEnd w:id="673"/>
    <w:bookmarkEnd w:id="674"/>
    <w:bookmarkEnd w:id="675"/>
    <w:bookmarkEnd w:id="676"/>
    <w:p>
      <w:pPr>
        <w:pStyle w:val="33"/>
        <w:spacing w:line="560" w:lineRule="exact"/>
        <w:ind w:firstLine="31680"/>
        <w:outlineLvl w:val="1"/>
        <w:rPr>
          <w:rFonts w:ascii="宋体" w:cs="宋体"/>
          <w:color w:val="auto"/>
          <w:sz w:val="28"/>
          <w:szCs w:val="28"/>
          <w:highlight w:val="none"/>
        </w:rPr>
      </w:pPr>
      <w:bookmarkStart w:id="677" w:name="_Toc4550"/>
      <w:bookmarkStart w:id="678" w:name="_Toc15275"/>
      <w:bookmarkStart w:id="679" w:name="_Toc2885"/>
      <w:bookmarkStart w:id="680" w:name="_Toc22295"/>
      <w:bookmarkStart w:id="681" w:name="_Toc26820"/>
      <w:bookmarkStart w:id="682" w:name="_Toc10809"/>
      <w:bookmarkStart w:id="683" w:name="_Toc12035"/>
      <w:bookmarkStart w:id="684" w:name="_Toc6018"/>
      <w:bookmarkStart w:id="685" w:name="_Toc18736"/>
      <w:bookmarkStart w:id="686" w:name="_Toc32075"/>
      <w:bookmarkStart w:id="687" w:name="_Toc19333"/>
      <w:bookmarkStart w:id="688" w:name="_Toc28179"/>
      <w:bookmarkStart w:id="689" w:name="_Toc29729"/>
      <w:bookmarkStart w:id="690" w:name="_Toc9133"/>
      <w:bookmarkStart w:id="691" w:name="_Toc31378"/>
      <w:bookmarkStart w:id="692" w:name="_Toc12685"/>
      <w:bookmarkStart w:id="693" w:name="_Toc21833"/>
      <w:bookmarkStart w:id="694" w:name="_Toc14309"/>
      <w:bookmarkStart w:id="695" w:name="_Toc12146"/>
      <w:bookmarkStart w:id="696" w:name="_Toc1319"/>
      <w:bookmarkStart w:id="697" w:name="_Toc14609"/>
      <w:bookmarkStart w:id="698" w:name="_Toc536"/>
      <w:bookmarkStart w:id="699" w:name="_Toc4102"/>
      <w:r>
        <w:rPr>
          <w:rFonts w:ascii="宋体" w:hAnsi="宋体" w:cs="宋体"/>
          <w:color w:val="auto"/>
          <w:sz w:val="28"/>
          <w:szCs w:val="28"/>
          <w:highlight w:val="none"/>
        </w:rPr>
        <w:t xml:space="preserve">9.2 </w:t>
      </w:r>
      <w:r>
        <w:rPr>
          <w:rFonts w:hint="eastAsia" w:ascii="宋体" w:hAnsi="宋体" w:cs="宋体"/>
          <w:color w:val="auto"/>
          <w:sz w:val="28"/>
          <w:szCs w:val="28"/>
          <w:highlight w:val="none"/>
        </w:rPr>
        <w:t>项目能耗指标</w:t>
      </w:r>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p>
    <w:p>
      <w:pPr>
        <w:pStyle w:val="33"/>
        <w:spacing w:line="560" w:lineRule="exact"/>
        <w:ind w:firstLine="31680"/>
        <w:rPr>
          <w:rFonts w:ascii="宋体" w:cs="宋体"/>
          <w:color w:val="auto"/>
          <w:sz w:val="28"/>
          <w:szCs w:val="28"/>
          <w:highlight w:val="none"/>
        </w:rPr>
      </w:pPr>
      <w:bookmarkStart w:id="700" w:name="_Toc23277"/>
      <w:r>
        <w:rPr>
          <w:rFonts w:ascii="宋体" w:hAnsi="宋体" w:cs="宋体"/>
          <w:color w:val="auto"/>
          <w:sz w:val="28"/>
          <w:szCs w:val="28"/>
          <w:highlight w:val="none"/>
        </w:rPr>
        <w:t xml:space="preserve">9.2.1 </w:t>
      </w:r>
      <w:r>
        <w:rPr>
          <w:rFonts w:hint="eastAsia" w:ascii="宋体" w:hAnsi="宋体" w:cs="宋体"/>
          <w:color w:val="auto"/>
          <w:sz w:val="28"/>
          <w:szCs w:val="28"/>
          <w:highlight w:val="none"/>
        </w:rPr>
        <w:t>能耗计算</w:t>
      </w:r>
      <w:bookmarkEnd w:id="700"/>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本项目主要能源需求是电能。项目用电是来自于国家电网，为项目提供电能的可靠保障。</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本项目综合能耗情况见表</w:t>
      </w:r>
      <w:r>
        <w:rPr>
          <w:rFonts w:ascii="宋体" w:hAnsi="宋体" w:cs="宋体"/>
          <w:color w:val="auto"/>
          <w:sz w:val="28"/>
          <w:szCs w:val="28"/>
          <w:highlight w:val="none"/>
        </w:rPr>
        <w:t>9.2-1</w:t>
      </w:r>
      <w:r>
        <w:rPr>
          <w:rFonts w:hint="eastAsia" w:ascii="宋体" w:hAnsi="宋体" w:cs="宋体"/>
          <w:color w:val="auto"/>
          <w:sz w:val="28"/>
          <w:szCs w:val="28"/>
          <w:highlight w:val="none"/>
        </w:rPr>
        <w:t>。</w:t>
      </w:r>
      <w:r>
        <w:rPr>
          <w:rFonts w:ascii="宋体" w:hAnsi="宋体" w:cs="宋体"/>
          <w:color w:val="auto"/>
          <w:sz w:val="28"/>
          <w:szCs w:val="28"/>
          <w:highlight w:val="none"/>
        </w:rPr>
        <w:t xml:space="preserve"> </w:t>
      </w:r>
    </w:p>
    <w:tbl>
      <w:tblPr>
        <w:tblStyle w:val="16"/>
        <w:tblpPr w:leftFromText="180" w:rightFromText="180" w:vertAnchor="text" w:horzAnchor="page" w:tblpXSpec="center" w:tblpY="560"/>
        <w:tblOverlap w:val="never"/>
        <w:tblW w:w="5000" w:type="pct"/>
        <w:jc w:val="center"/>
        <w:tblLayout w:type="autofit"/>
        <w:tblCellMar>
          <w:top w:w="0" w:type="dxa"/>
          <w:left w:w="108" w:type="dxa"/>
          <w:bottom w:w="0" w:type="dxa"/>
          <w:right w:w="108" w:type="dxa"/>
        </w:tblCellMar>
      </w:tblPr>
      <w:tblGrid>
        <w:gridCol w:w="1010"/>
        <w:gridCol w:w="1774"/>
        <w:gridCol w:w="636"/>
        <w:gridCol w:w="1018"/>
        <w:gridCol w:w="1275"/>
        <w:gridCol w:w="1024"/>
        <w:gridCol w:w="636"/>
        <w:gridCol w:w="1149"/>
      </w:tblGrid>
      <w:tr>
        <w:tblPrEx>
          <w:tblCellMar>
            <w:top w:w="0" w:type="dxa"/>
            <w:left w:w="108" w:type="dxa"/>
            <w:bottom w:w="0" w:type="dxa"/>
            <w:right w:w="108" w:type="dxa"/>
          </w:tblCellMar>
        </w:tblPrEx>
        <w:trPr>
          <w:trHeight w:val="567" w:hRule="atLeast"/>
          <w:jc w:val="center"/>
        </w:trPr>
        <w:tc>
          <w:tcPr>
            <w:tcW w:w="5000" w:type="pct"/>
            <w:gridSpan w:val="8"/>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《综合能耗计算通则》（</w:t>
            </w:r>
            <w:r>
              <w:rPr>
                <w:rFonts w:ascii="宋体" w:hAnsi="宋体" w:cs="宋体"/>
                <w:color w:val="auto"/>
                <w:kern w:val="0"/>
                <w:szCs w:val="21"/>
                <w:highlight w:val="none"/>
              </w:rPr>
              <w:t>GB/T2589-2020)</w:t>
            </w:r>
          </w:p>
        </w:tc>
      </w:tr>
      <w:tr>
        <w:tblPrEx>
          <w:tblCellMar>
            <w:top w:w="0" w:type="dxa"/>
            <w:left w:w="108" w:type="dxa"/>
            <w:bottom w:w="0" w:type="dxa"/>
            <w:right w:w="108" w:type="dxa"/>
          </w:tblCellMar>
        </w:tblPrEx>
        <w:trPr>
          <w:trHeight w:val="567" w:hRule="atLeast"/>
          <w:jc w:val="center"/>
        </w:trPr>
        <w:tc>
          <w:tcPr>
            <w:tcW w:w="593"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规格</w:t>
            </w:r>
          </w:p>
        </w:tc>
        <w:tc>
          <w:tcPr>
            <w:tcW w:w="1413" w:type="pct"/>
            <w:gridSpan w:val="2"/>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消耗</w:t>
            </w:r>
          </w:p>
        </w:tc>
        <w:tc>
          <w:tcPr>
            <w:tcW w:w="1345" w:type="pct"/>
            <w:gridSpan w:val="2"/>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折标系数</w:t>
            </w:r>
          </w:p>
        </w:tc>
        <w:tc>
          <w:tcPr>
            <w:tcW w:w="973" w:type="pct"/>
            <w:gridSpan w:val="2"/>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折标煤</w:t>
            </w:r>
          </w:p>
        </w:tc>
        <w:tc>
          <w:tcPr>
            <w:tcW w:w="674"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备注</w:t>
            </w:r>
          </w:p>
        </w:tc>
      </w:tr>
      <w:tr>
        <w:tblPrEx>
          <w:tblCellMar>
            <w:top w:w="0" w:type="dxa"/>
            <w:left w:w="108" w:type="dxa"/>
            <w:bottom w:w="0" w:type="dxa"/>
            <w:right w:w="108" w:type="dxa"/>
          </w:tblCellMar>
        </w:tblPrEx>
        <w:trPr>
          <w:trHeight w:val="567" w:hRule="atLeast"/>
          <w:jc w:val="center"/>
        </w:trPr>
        <w:tc>
          <w:tcPr>
            <w:tcW w:w="593" w:type="pct"/>
            <w:vMerge w:val="restar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动力电</w:t>
            </w:r>
          </w:p>
        </w:tc>
        <w:tc>
          <w:tcPr>
            <w:tcW w:w="177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400000</w:t>
            </w:r>
          </w:p>
        </w:tc>
        <w:tc>
          <w:tcPr>
            <w:tcW w:w="373"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kWh</w:t>
            </w:r>
          </w:p>
        </w:tc>
        <w:tc>
          <w:tcPr>
            <w:tcW w:w="597"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0.1229</w:t>
            </w:r>
          </w:p>
        </w:tc>
        <w:tc>
          <w:tcPr>
            <w:tcW w:w="74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kgce/kwh</w:t>
            </w:r>
          </w:p>
        </w:tc>
        <w:tc>
          <w:tcPr>
            <w:tcW w:w="1023" w:type="dxa"/>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 xml:space="preserve">49.16 </w:t>
            </w:r>
          </w:p>
        </w:tc>
        <w:tc>
          <w:tcPr>
            <w:tcW w:w="373"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tce</w:t>
            </w:r>
          </w:p>
        </w:tc>
        <w:tc>
          <w:tcPr>
            <w:tcW w:w="674"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当量值</w:t>
            </w:r>
          </w:p>
        </w:tc>
      </w:tr>
      <w:tr>
        <w:tblPrEx>
          <w:tblCellMar>
            <w:top w:w="0" w:type="dxa"/>
            <w:left w:w="108" w:type="dxa"/>
            <w:bottom w:w="0" w:type="dxa"/>
            <w:right w:w="108" w:type="dxa"/>
          </w:tblCellMar>
        </w:tblPrEx>
        <w:trPr>
          <w:trHeight w:val="567" w:hRule="atLeast"/>
          <w:jc w:val="center"/>
        </w:trPr>
        <w:tc>
          <w:tcPr>
            <w:tcW w:w="593" w:type="pct"/>
            <w:vMerge w:val="continue"/>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p>
        </w:tc>
        <w:tc>
          <w:tcPr>
            <w:tcW w:w="177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400000</w:t>
            </w:r>
          </w:p>
        </w:tc>
        <w:tc>
          <w:tcPr>
            <w:tcW w:w="373"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kWh</w:t>
            </w:r>
          </w:p>
        </w:tc>
        <w:tc>
          <w:tcPr>
            <w:tcW w:w="597"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0.2731</w:t>
            </w:r>
          </w:p>
        </w:tc>
        <w:tc>
          <w:tcPr>
            <w:tcW w:w="748"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kgce/kwh</w:t>
            </w:r>
          </w:p>
        </w:tc>
        <w:tc>
          <w:tcPr>
            <w:tcW w:w="1023" w:type="dxa"/>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 xml:space="preserve">109.24 </w:t>
            </w:r>
          </w:p>
        </w:tc>
        <w:tc>
          <w:tcPr>
            <w:tcW w:w="373"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tce</w:t>
            </w:r>
          </w:p>
        </w:tc>
        <w:tc>
          <w:tcPr>
            <w:tcW w:w="674"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等价值</w:t>
            </w:r>
          </w:p>
        </w:tc>
      </w:tr>
      <w:tr>
        <w:tblPrEx>
          <w:tblCellMar>
            <w:top w:w="0" w:type="dxa"/>
            <w:left w:w="108" w:type="dxa"/>
            <w:bottom w:w="0" w:type="dxa"/>
            <w:right w:w="108" w:type="dxa"/>
          </w:tblCellMar>
        </w:tblPrEx>
        <w:trPr>
          <w:trHeight w:val="567" w:hRule="atLeast"/>
          <w:jc w:val="center"/>
        </w:trPr>
        <w:tc>
          <w:tcPr>
            <w:tcW w:w="2007" w:type="pct"/>
            <w:gridSpan w:val="3"/>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综合能耗</w:t>
            </w:r>
          </w:p>
        </w:tc>
        <w:tc>
          <w:tcPr>
            <w:tcW w:w="1345" w:type="pct"/>
            <w:gridSpan w:val="2"/>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当量值</w:t>
            </w:r>
          </w:p>
        </w:tc>
        <w:tc>
          <w:tcPr>
            <w:tcW w:w="1023" w:type="dxa"/>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49.16</w:t>
            </w:r>
          </w:p>
        </w:tc>
        <w:tc>
          <w:tcPr>
            <w:tcW w:w="373"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tce</w:t>
            </w:r>
          </w:p>
        </w:tc>
        <w:tc>
          <w:tcPr>
            <w:tcW w:w="674"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Cs w:val="21"/>
                <w:highlight w:val="none"/>
              </w:rPr>
            </w:pPr>
          </w:p>
        </w:tc>
      </w:tr>
      <w:tr>
        <w:tblPrEx>
          <w:tblCellMar>
            <w:top w:w="0" w:type="dxa"/>
            <w:left w:w="108" w:type="dxa"/>
            <w:bottom w:w="0" w:type="dxa"/>
            <w:right w:w="108" w:type="dxa"/>
          </w:tblCellMar>
        </w:tblPrEx>
        <w:trPr>
          <w:trHeight w:val="567" w:hRule="atLeast"/>
          <w:jc w:val="center"/>
        </w:trPr>
        <w:tc>
          <w:tcPr>
            <w:tcW w:w="2007" w:type="pct"/>
            <w:gridSpan w:val="3"/>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Cs w:val="21"/>
                <w:highlight w:val="none"/>
              </w:rPr>
            </w:pPr>
          </w:p>
        </w:tc>
        <w:tc>
          <w:tcPr>
            <w:tcW w:w="1345" w:type="pct"/>
            <w:gridSpan w:val="2"/>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等价值</w:t>
            </w:r>
          </w:p>
        </w:tc>
        <w:tc>
          <w:tcPr>
            <w:tcW w:w="1023" w:type="dxa"/>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109.24</w:t>
            </w:r>
          </w:p>
        </w:tc>
        <w:tc>
          <w:tcPr>
            <w:tcW w:w="373"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tce</w:t>
            </w:r>
          </w:p>
        </w:tc>
        <w:tc>
          <w:tcPr>
            <w:tcW w:w="674"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Cs w:val="21"/>
                <w:highlight w:val="none"/>
              </w:rPr>
            </w:pPr>
          </w:p>
        </w:tc>
      </w:tr>
    </w:tbl>
    <w:p>
      <w:pPr>
        <w:spacing w:line="560" w:lineRule="exact"/>
        <w:ind w:firstLine="396" w:firstLineChars="200"/>
        <w:jc w:val="center"/>
        <w:textAlignment w:val="center"/>
        <w:rPr>
          <w:rFonts w:ascii="宋体" w:cs="宋体"/>
          <w:color w:val="auto"/>
          <w:sz w:val="28"/>
          <w:szCs w:val="28"/>
          <w:highlight w:val="none"/>
        </w:rPr>
      </w:pPr>
      <w:r>
        <w:rPr>
          <w:rFonts w:hint="eastAsia" w:ascii="宋体" w:hAnsi="宋体" w:cs="宋体"/>
          <w:color w:val="auto"/>
          <w:spacing w:val="-6"/>
          <w:szCs w:val="21"/>
          <w:highlight w:val="none"/>
        </w:rPr>
        <w:t>表</w:t>
      </w:r>
      <w:r>
        <w:rPr>
          <w:rFonts w:ascii="宋体" w:hAnsi="宋体" w:cs="宋体"/>
          <w:color w:val="auto"/>
          <w:spacing w:val="-6"/>
          <w:szCs w:val="21"/>
          <w:highlight w:val="none"/>
        </w:rPr>
        <w:t xml:space="preserve">9.2-1  </w:t>
      </w:r>
      <w:r>
        <w:rPr>
          <w:rFonts w:hint="eastAsia" w:ascii="宋体" w:hAnsi="宋体" w:cs="宋体"/>
          <w:color w:val="auto"/>
          <w:spacing w:val="-6"/>
          <w:szCs w:val="21"/>
          <w:highlight w:val="none"/>
        </w:rPr>
        <w:t>产品综合能耗计算</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rPr>
        <w:t>本项目综合能耗折合标准煤当量值为</w:t>
      </w:r>
      <w:r>
        <w:rPr>
          <w:rFonts w:ascii="宋体" w:hAnsi="宋体" w:cs="宋体"/>
          <w:color w:val="auto"/>
          <w:sz w:val="28"/>
          <w:szCs w:val="28"/>
          <w:highlight w:val="none"/>
        </w:rPr>
        <w:t xml:space="preserve">49.16 </w:t>
      </w:r>
      <w:r>
        <w:rPr>
          <w:rFonts w:hint="eastAsia" w:ascii="宋体" w:hAnsi="宋体" w:cs="宋体"/>
          <w:color w:val="auto"/>
          <w:sz w:val="28"/>
          <w:szCs w:val="28"/>
          <w:highlight w:val="none"/>
        </w:rPr>
        <w:t>吨，等价值为</w:t>
      </w:r>
      <w:r>
        <w:rPr>
          <w:rFonts w:ascii="宋体" w:hAnsi="宋体" w:cs="宋体"/>
          <w:color w:val="auto"/>
          <w:sz w:val="28"/>
          <w:szCs w:val="28"/>
          <w:highlight w:val="none"/>
        </w:rPr>
        <w:t>109.24</w:t>
      </w:r>
      <w:r>
        <w:rPr>
          <w:rFonts w:hint="eastAsia" w:ascii="宋体" w:hAnsi="宋体" w:cs="宋体"/>
          <w:color w:val="auto"/>
          <w:sz w:val="28"/>
          <w:szCs w:val="28"/>
          <w:highlight w:val="none"/>
        </w:rPr>
        <w:t>吨</w:t>
      </w:r>
      <w:r>
        <w:rPr>
          <w:rFonts w:hint="eastAsia" w:ascii="宋体" w:hAnsi="宋体" w:cs="宋体"/>
          <w:color w:val="auto"/>
          <w:sz w:val="28"/>
          <w:szCs w:val="28"/>
          <w:highlight w:val="none"/>
          <w:lang w:val="zh-CN"/>
        </w:rPr>
        <w:t>。</w:t>
      </w:r>
    </w:p>
    <w:p>
      <w:pPr>
        <w:pStyle w:val="33"/>
        <w:spacing w:line="560" w:lineRule="exact"/>
        <w:ind w:firstLine="31680"/>
        <w:rPr>
          <w:rFonts w:ascii="宋体" w:cs="宋体"/>
          <w:color w:val="auto"/>
          <w:sz w:val="28"/>
          <w:szCs w:val="28"/>
          <w:highlight w:val="none"/>
        </w:rPr>
      </w:pPr>
      <w:bookmarkStart w:id="701" w:name="_Toc14476"/>
      <w:r>
        <w:rPr>
          <w:rFonts w:ascii="宋体" w:hAnsi="宋体" w:cs="宋体"/>
          <w:color w:val="auto"/>
          <w:sz w:val="28"/>
          <w:szCs w:val="28"/>
          <w:highlight w:val="none"/>
        </w:rPr>
        <w:t>9.2.2</w:t>
      </w:r>
      <w:r>
        <w:rPr>
          <w:rFonts w:hint="eastAsia" w:ascii="宋体" w:hAnsi="宋体" w:cs="宋体"/>
          <w:color w:val="auto"/>
          <w:sz w:val="28"/>
          <w:szCs w:val="28"/>
          <w:highlight w:val="none"/>
        </w:rPr>
        <w:t>能耗分析</w:t>
      </w:r>
      <w:bookmarkEnd w:id="701"/>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工业增加值是工业企业全部生产活动的总成果（工业总产出）扣除了在生产过程消耗或转换的物质产品和劳务价值后的余额。</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工业增加值</w:t>
      </w: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w:t>
      </w:r>
      <w:r>
        <w:rPr>
          <w:rFonts w:hint="eastAsia" w:ascii="宋体" w:hAnsi="宋体" w:cs="宋体"/>
          <w:color w:val="auto"/>
          <w:sz w:val="28"/>
          <w:szCs w:val="28"/>
          <w:highlight w:val="none"/>
        </w:rPr>
        <w:t>以第</w:t>
      </w:r>
      <w:r>
        <w:rPr>
          <w:rFonts w:ascii="宋体" w:hAnsi="宋体" w:cs="宋体"/>
          <w:color w:val="auto"/>
          <w:sz w:val="28"/>
          <w:szCs w:val="28"/>
          <w:highlight w:val="none"/>
        </w:rPr>
        <w:t>6</w:t>
      </w:r>
      <w:r>
        <w:rPr>
          <w:rFonts w:hint="eastAsia" w:ascii="宋体" w:hAnsi="宋体" w:cs="宋体"/>
          <w:color w:val="auto"/>
          <w:sz w:val="28"/>
          <w:szCs w:val="28"/>
          <w:highlight w:val="none"/>
        </w:rPr>
        <w:t>年计</w:t>
      </w:r>
      <w:r>
        <w:rPr>
          <w:rFonts w:hint="eastAsia" w:ascii="宋体" w:hAnsi="宋体" w:cs="宋体"/>
          <w:color w:val="auto"/>
          <w:sz w:val="28"/>
          <w:szCs w:val="28"/>
          <w:highlight w:val="none"/>
          <w:lang w:val="zh-CN"/>
        </w:rPr>
        <w:t>）：</w:t>
      </w:r>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lang w:val="zh-CN"/>
        </w:rPr>
        <w:t xml:space="preserve">= </w:t>
      </w:r>
      <w:r>
        <w:rPr>
          <w:rFonts w:hint="eastAsia" w:ascii="宋体" w:hAnsi="宋体" w:cs="宋体"/>
          <w:color w:val="auto"/>
          <w:sz w:val="28"/>
          <w:szCs w:val="28"/>
          <w:highlight w:val="none"/>
          <w:lang w:val="zh-CN"/>
        </w:rPr>
        <w:t>工业总产值</w:t>
      </w:r>
      <w:r>
        <w:rPr>
          <w:rFonts w:ascii="宋体" w:cs="宋体"/>
          <w:color w:val="auto"/>
          <w:sz w:val="28"/>
          <w:szCs w:val="28"/>
          <w:highlight w:val="none"/>
          <w:lang w:val="zh-CN"/>
        </w:rPr>
        <w:t>-</w:t>
      </w:r>
      <w:r>
        <w:rPr>
          <w:rFonts w:hint="eastAsia" w:ascii="宋体" w:hAnsi="宋体" w:cs="宋体"/>
          <w:color w:val="auto"/>
          <w:sz w:val="28"/>
          <w:szCs w:val="28"/>
          <w:highlight w:val="none"/>
          <w:lang w:val="zh-CN"/>
        </w:rPr>
        <w:t>总成本</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利息</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工资及福利</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折旧</w:t>
      </w:r>
      <w:r>
        <w:rPr>
          <w:rFonts w:hint="eastAsia" w:ascii="宋体" w:hAnsi="宋体" w:cs="宋体"/>
          <w:color w:val="auto"/>
          <w:sz w:val="28"/>
          <w:szCs w:val="28"/>
          <w:highlight w:val="none"/>
        </w:rPr>
        <w:t>摊销</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增值税</w:t>
      </w:r>
    </w:p>
    <w:p>
      <w:pPr>
        <w:pStyle w:val="33"/>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=3964.64-3677.88+0+0+36.71+34.05</w:t>
      </w:r>
    </w:p>
    <w:p>
      <w:pPr>
        <w:pStyle w:val="33"/>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=357.52</w:t>
      </w:r>
      <w:r>
        <w:rPr>
          <w:rFonts w:hint="eastAsia" w:ascii="宋体" w:hAnsi="宋体" w:cs="宋体"/>
          <w:color w:val="auto"/>
          <w:sz w:val="28"/>
          <w:szCs w:val="28"/>
          <w:highlight w:val="none"/>
        </w:rPr>
        <w:t>万元</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按照财务评价数据，项目实施后新增工业增加值（以达产年第</w:t>
      </w:r>
      <w:r>
        <w:rPr>
          <w:rFonts w:ascii="宋体" w:hAnsi="宋体" w:cs="宋体"/>
          <w:color w:val="auto"/>
          <w:sz w:val="28"/>
          <w:szCs w:val="28"/>
          <w:highlight w:val="none"/>
        </w:rPr>
        <w:t>6</w:t>
      </w:r>
      <w:r>
        <w:rPr>
          <w:rFonts w:hint="eastAsia" w:ascii="宋体" w:hAnsi="宋体" w:cs="宋体"/>
          <w:color w:val="auto"/>
          <w:sz w:val="28"/>
          <w:szCs w:val="28"/>
          <w:highlight w:val="none"/>
          <w:lang w:val="zh-CN"/>
        </w:rPr>
        <w:t>年计）为</w:t>
      </w:r>
      <w:r>
        <w:rPr>
          <w:rFonts w:ascii="宋体" w:hAnsi="宋体" w:cs="宋体"/>
          <w:color w:val="auto"/>
          <w:sz w:val="28"/>
          <w:szCs w:val="28"/>
          <w:highlight w:val="none"/>
        </w:rPr>
        <w:t>357.52</w:t>
      </w:r>
      <w:r>
        <w:rPr>
          <w:rFonts w:hint="eastAsia" w:ascii="宋体" w:hAnsi="宋体" w:cs="宋体"/>
          <w:color w:val="auto"/>
          <w:sz w:val="28"/>
          <w:szCs w:val="28"/>
          <w:highlight w:val="none"/>
          <w:lang w:val="zh-CN"/>
        </w:rPr>
        <w:t>万元。单位工业增加值能耗见表</w:t>
      </w:r>
      <w:r>
        <w:rPr>
          <w:rFonts w:ascii="宋体" w:hAnsi="宋体" w:cs="宋体"/>
          <w:color w:val="auto"/>
          <w:sz w:val="28"/>
          <w:szCs w:val="28"/>
          <w:highlight w:val="none"/>
        </w:rPr>
        <w:t>9.3</w:t>
      </w:r>
      <w:r>
        <w:rPr>
          <w:rFonts w:ascii="宋体" w:hAnsi="宋体" w:cs="宋体"/>
          <w:color w:val="auto"/>
          <w:sz w:val="28"/>
          <w:szCs w:val="28"/>
          <w:highlight w:val="none"/>
          <w:lang w:val="zh-CN"/>
        </w:rPr>
        <w:t>-2</w:t>
      </w:r>
      <w:r>
        <w:rPr>
          <w:rFonts w:hint="eastAsia" w:ascii="宋体" w:hAnsi="宋体" w:cs="宋体"/>
          <w:color w:val="auto"/>
          <w:sz w:val="28"/>
          <w:szCs w:val="28"/>
          <w:highlight w:val="none"/>
          <w:lang w:val="zh-CN"/>
        </w:rPr>
        <w:t>。</w:t>
      </w:r>
    </w:p>
    <w:p>
      <w:pPr>
        <w:pStyle w:val="44"/>
        <w:spacing w:line="560" w:lineRule="exact"/>
        <w:textAlignment w:val="bottom"/>
        <w:rPr>
          <w:rFonts w:ascii="宋体" w:cs="宋体"/>
          <w:color w:val="auto"/>
          <w:sz w:val="24"/>
          <w:szCs w:val="24"/>
          <w:highlight w:val="none"/>
          <w:lang w:val="zh-CN"/>
        </w:rPr>
      </w:pPr>
      <w:r>
        <w:rPr>
          <w:rFonts w:hint="eastAsia" w:ascii="宋体" w:hAnsi="宋体" w:cs="宋体"/>
          <w:color w:val="auto"/>
          <w:sz w:val="24"/>
          <w:szCs w:val="24"/>
          <w:highlight w:val="none"/>
          <w:lang w:val="zh-CN"/>
        </w:rPr>
        <w:t>表</w:t>
      </w:r>
      <w:r>
        <w:rPr>
          <w:rFonts w:ascii="宋体" w:hAnsi="宋体" w:cs="宋体"/>
          <w:color w:val="auto"/>
          <w:sz w:val="24"/>
          <w:szCs w:val="24"/>
          <w:highlight w:val="none"/>
        </w:rPr>
        <w:t>9.3</w:t>
      </w:r>
      <w:r>
        <w:rPr>
          <w:rFonts w:ascii="宋体" w:cs="宋体"/>
          <w:color w:val="auto"/>
          <w:sz w:val="24"/>
          <w:szCs w:val="24"/>
          <w:highlight w:val="none"/>
          <w:lang w:val="zh-CN"/>
        </w:rPr>
        <w:t>-</w:t>
      </w:r>
      <w:r>
        <w:rPr>
          <w:rFonts w:ascii="宋体" w:hAnsi="宋体" w:cs="宋体"/>
          <w:color w:val="auto"/>
          <w:sz w:val="24"/>
          <w:szCs w:val="24"/>
          <w:highlight w:val="none"/>
        </w:rPr>
        <w:t>2</w:t>
      </w:r>
      <w:r>
        <w:rPr>
          <w:rFonts w:ascii="宋体" w:hAnsi="宋体" w:cs="宋体"/>
          <w:color w:val="auto"/>
          <w:sz w:val="24"/>
          <w:szCs w:val="24"/>
          <w:highlight w:val="none"/>
          <w:lang w:val="zh-CN"/>
        </w:rPr>
        <w:t xml:space="preserve">   </w:t>
      </w:r>
      <w:r>
        <w:rPr>
          <w:rFonts w:hint="eastAsia" w:ascii="宋体" w:hAnsi="宋体" w:cs="宋体"/>
          <w:color w:val="auto"/>
          <w:sz w:val="24"/>
          <w:szCs w:val="24"/>
          <w:highlight w:val="none"/>
          <w:lang w:val="zh-CN"/>
        </w:rPr>
        <w:t>单位工业增加值综合能耗表</w:t>
      </w:r>
    </w:p>
    <w:tbl>
      <w:tblPr>
        <w:tblStyle w:val="1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7"/>
        <w:gridCol w:w="3253"/>
        <w:gridCol w:w="2280"/>
        <w:gridCol w:w="20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50" w:type="pct"/>
            <w:vAlign w:val="center"/>
          </w:tcPr>
          <w:p>
            <w:pPr>
              <w:pStyle w:val="40"/>
              <w:rPr>
                <w:rFonts w:ascii="宋体" w:cs="宋体"/>
                <w:color w:val="auto"/>
                <w:kern w:val="2"/>
                <w:szCs w:val="21"/>
                <w:highlight w:val="none"/>
              </w:rPr>
            </w:pPr>
            <w:r>
              <w:rPr>
                <w:rFonts w:hint="eastAsia" w:ascii="宋体" w:hAnsi="宋体" w:cs="宋体"/>
                <w:color w:val="auto"/>
                <w:kern w:val="2"/>
                <w:szCs w:val="21"/>
                <w:highlight w:val="none"/>
              </w:rPr>
              <w:t>序号</w:t>
            </w:r>
          </w:p>
        </w:tc>
        <w:tc>
          <w:tcPr>
            <w:tcW w:w="1909" w:type="pct"/>
            <w:vAlign w:val="center"/>
          </w:tcPr>
          <w:p>
            <w:pPr>
              <w:pStyle w:val="40"/>
              <w:rPr>
                <w:rFonts w:ascii="宋体" w:cs="宋体"/>
                <w:color w:val="auto"/>
                <w:kern w:val="2"/>
                <w:szCs w:val="21"/>
                <w:highlight w:val="none"/>
              </w:rPr>
            </w:pPr>
            <w:r>
              <w:rPr>
                <w:rFonts w:hint="eastAsia" w:ascii="宋体" w:hAnsi="宋体" w:cs="宋体"/>
                <w:color w:val="auto"/>
                <w:kern w:val="2"/>
                <w:szCs w:val="21"/>
                <w:highlight w:val="none"/>
              </w:rPr>
              <w:t>指标名称</w:t>
            </w:r>
          </w:p>
        </w:tc>
        <w:tc>
          <w:tcPr>
            <w:tcW w:w="1338" w:type="pct"/>
            <w:vAlign w:val="center"/>
          </w:tcPr>
          <w:p>
            <w:pPr>
              <w:pStyle w:val="40"/>
              <w:rPr>
                <w:rFonts w:ascii="宋体" w:cs="宋体"/>
                <w:color w:val="auto"/>
                <w:kern w:val="2"/>
                <w:szCs w:val="21"/>
                <w:highlight w:val="none"/>
              </w:rPr>
            </w:pPr>
            <w:r>
              <w:rPr>
                <w:rFonts w:hint="eastAsia" w:ascii="宋体" w:hAnsi="宋体" w:cs="宋体"/>
                <w:color w:val="auto"/>
                <w:kern w:val="2"/>
                <w:szCs w:val="21"/>
                <w:highlight w:val="none"/>
              </w:rPr>
              <w:t>单位</w:t>
            </w:r>
          </w:p>
        </w:tc>
        <w:tc>
          <w:tcPr>
            <w:tcW w:w="1202" w:type="pct"/>
            <w:vAlign w:val="center"/>
          </w:tcPr>
          <w:p>
            <w:pPr>
              <w:pStyle w:val="40"/>
              <w:rPr>
                <w:rFonts w:ascii="宋体" w:cs="宋体"/>
                <w:color w:val="auto"/>
                <w:kern w:val="2"/>
                <w:szCs w:val="21"/>
                <w:highlight w:val="none"/>
              </w:rPr>
            </w:pPr>
            <w:r>
              <w:rPr>
                <w:rFonts w:hint="eastAsia" w:ascii="宋体" w:hAnsi="宋体" w:cs="宋体"/>
                <w:color w:val="auto"/>
                <w:kern w:val="2"/>
                <w:szCs w:val="21"/>
                <w:highlight w:val="none"/>
              </w:rPr>
              <w:t>数值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50" w:type="pct"/>
            <w:vAlign w:val="center"/>
          </w:tcPr>
          <w:p>
            <w:pPr>
              <w:pStyle w:val="40"/>
              <w:rPr>
                <w:rFonts w:ascii="宋体" w:cs="宋体"/>
                <w:color w:val="auto"/>
                <w:kern w:val="2"/>
                <w:szCs w:val="21"/>
                <w:highlight w:val="none"/>
              </w:rPr>
            </w:pPr>
            <w:r>
              <w:rPr>
                <w:rFonts w:ascii="宋体" w:hAnsi="宋体" w:cs="宋体"/>
                <w:color w:val="auto"/>
                <w:kern w:val="2"/>
                <w:szCs w:val="21"/>
                <w:highlight w:val="none"/>
              </w:rPr>
              <w:t>1</w:t>
            </w:r>
          </w:p>
        </w:tc>
        <w:tc>
          <w:tcPr>
            <w:tcW w:w="3253" w:type="dxa"/>
            <w:vAlign w:val="center"/>
          </w:tcPr>
          <w:p>
            <w:pPr>
              <w:widowControl/>
              <w:jc w:val="center"/>
              <w:textAlignment w:val="center"/>
              <w:rPr>
                <w:rFonts w:ascii="宋体" w:cs="宋体"/>
                <w:color w:val="auto"/>
                <w:szCs w:val="21"/>
                <w:highlight w:val="none"/>
              </w:rPr>
            </w:pPr>
            <w:r>
              <w:rPr>
                <w:rFonts w:hint="eastAsia" w:ascii="宋体" w:hAnsi="宋体" w:cs="宋体"/>
                <w:color w:val="auto"/>
                <w:szCs w:val="21"/>
                <w:highlight w:val="none"/>
              </w:rPr>
              <w:t>年综合能耗</w:t>
            </w:r>
          </w:p>
        </w:tc>
        <w:tc>
          <w:tcPr>
            <w:tcW w:w="2280" w:type="dxa"/>
            <w:vAlign w:val="center"/>
          </w:tcPr>
          <w:p>
            <w:pPr>
              <w:widowControl/>
              <w:jc w:val="center"/>
              <w:textAlignment w:val="center"/>
              <w:rPr>
                <w:rFonts w:ascii="宋体" w:cs="宋体"/>
                <w:color w:val="auto"/>
                <w:szCs w:val="21"/>
                <w:highlight w:val="none"/>
              </w:rPr>
            </w:pPr>
            <w:r>
              <w:rPr>
                <w:rFonts w:hint="eastAsia" w:ascii="宋体" w:hAnsi="宋体" w:cs="宋体"/>
                <w:color w:val="auto"/>
                <w:szCs w:val="21"/>
                <w:highlight w:val="none"/>
              </w:rPr>
              <w:t>吨标准煤</w:t>
            </w:r>
          </w:p>
        </w:tc>
        <w:tc>
          <w:tcPr>
            <w:tcW w:w="2049" w:type="dxa"/>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109.24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50" w:type="pct"/>
            <w:vAlign w:val="center"/>
          </w:tcPr>
          <w:p>
            <w:pPr>
              <w:pStyle w:val="40"/>
              <w:rPr>
                <w:rFonts w:ascii="宋体" w:cs="宋体"/>
                <w:color w:val="auto"/>
                <w:kern w:val="2"/>
                <w:szCs w:val="21"/>
                <w:highlight w:val="none"/>
              </w:rPr>
            </w:pPr>
            <w:r>
              <w:rPr>
                <w:rFonts w:ascii="宋体" w:hAnsi="宋体" w:cs="宋体"/>
                <w:color w:val="auto"/>
                <w:kern w:val="2"/>
                <w:szCs w:val="21"/>
                <w:highlight w:val="none"/>
              </w:rPr>
              <w:t>2</w:t>
            </w:r>
          </w:p>
        </w:tc>
        <w:tc>
          <w:tcPr>
            <w:tcW w:w="3253" w:type="dxa"/>
            <w:vAlign w:val="center"/>
          </w:tcPr>
          <w:p>
            <w:pPr>
              <w:widowControl/>
              <w:jc w:val="center"/>
              <w:textAlignment w:val="center"/>
              <w:rPr>
                <w:rFonts w:ascii="宋体" w:cs="宋体"/>
                <w:color w:val="auto"/>
                <w:szCs w:val="21"/>
                <w:highlight w:val="none"/>
              </w:rPr>
            </w:pPr>
            <w:r>
              <w:rPr>
                <w:rFonts w:hint="eastAsia" w:ascii="宋体" w:hAnsi="宋体" w:cs="宋体"/>
                <w:color w:val="auto"/>
                <w:szCs w:val="21"/>
                <w:highlight w:val="none"/>
              </w:rPr>
              <w:t>年工业增加值</w:t>
            </w:r>
          </w:p>
        </w:tc>
        <w:tc>
          <w:tcPr>
            <w:tcW w:w="2280" w:type="dxa"/>
            <w:vAlign w:val="center"/>
          </w:tcPr>
          <w:p>
            <w:pPr>
              <w:widowControl/>
              <w:jc w:val="center"/>
              <w:textAlignment w:val="center"/>
              <w:rPr>
                <w:rFonts w:ascii="宋体" w:cs="宋体"/>
                <w:color w:val="auto"/>
                <w:szCs w:val="21"/>
                <w:highlight w:val="none"/>
              </w:rPr>
            </w:pPr>
            <w:r>
              <w:rPr>
                <w:rFonts w:hint="eastAsia" w:ascii="宋体" w:hAnsi="宋体" w:cs="宋体"/>
                <w:color w:val="auto"/>
                <w:szCs w:val="21"/>
                <w:highlight w:val="none"/>
              </w:rPr>
              <w:t>万元</w:t>
            </w:r>
          </w:p>
        </w:tc>
        <w:tc>
          <w:tcPr>
            <w:tcW w:w="2049" w:type="dxa"/>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357.52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50" w:type="pct"/>
            <w:vAlign w:val="center"/>
          </w:tcPr>
          <w:p>
            <w:pPr>
              <w:pStyle w:val="40"/>
              <w:rPr>
                <w:rFonts w:ascii="宋体" w:cs="宋体"/>
                <w:color w:val="auto"/>
                <w:kern w:val="2"/>
                <w:szCs w:val="21"/>
                <w:highlight w:val="none"/>
              </w:rPr>
            </w:pPr>
            <w:r>
              <w:rPr>
                <w:rFonts w:ascii="宋体" w:hAnsi="宋体" w:cs="宋体"/>
                <w:color w:val="auto"/>
                <w:kern w:val="2"/>
                <w:szCs w:val="21"/>
                <w:highlight w:val="none"/>
              </w:rPr>
              <w:t>3</w:t>
            </w:r>
          </w:p>
        </w:tc>
        <w:tc>
          <w:tcPr>
            <w:tcW w:w="3253" w:type="dxa"/>
            <w:vAlign w:val="center"/>
          </w:tcPr>
          <w:p>
            <w:pPr>
              <w:widowControl/>
              <w:jc w:val="center"/>
              <w:textAlignment w:val="center"/>
              <w:rPr>
                <w:rFonts w:ascii="宋体" w:cs="宋体"/>
                <w:color w:val="auto"/>
                <w:szCs w:val="21"/>
                <w:highlight w:val="none"/>
              </w:rPr>
            </w:pPr>
            <w:r>
              <w:rPr>
                <w:rFonts w:hint="eastAsia" w:ascii="宋体" w:hAnsi="宋体" w:cs="宋体"/>
                <w:color w:val="auto"/>
                <w:szCs w:val="21"/>
                <w:highlight w:val="none"/>
              </w:rPr>
              <w:t>万元工业增加值能耗</w:t>
            </w:r>
          </w:p>
        </w:tc>
        <w:tc>
          <w:tcPr>
            <w:tcW w:w="2280" w:type="dxa"/>
            <w:vAlign w:val="center"/>
          </w:tcPr>
          <w:p>
            <w:pPr>
              <w:widowControl/>
              <w:jc w:val="center"/>
              <w:textAlignment w:val="center"/>
              <w:rPr>
                <w:rFonts w:ascii="宋体" w:cs="宋体"/>
                <w:color w:val="auto"/>
                <w:szCs w:val="21"/>
                <w:highlight w:val="none"/>
              </w:rPr>
            </w:pPr>
            <w:r>
              <w:rPr>
                <w:rFonts w:hint="eastAsia" w:ascii="宋体" w:hAnsi="宋体" w:cs="宋体"/>
                <w:color w:val="auto"/>
                <w:szCs w:val="21"/>
                <w:highlight w:val="none"/>
              </w:rPr>
              <w:t>吨标准煤</w:t>
            </w:r>
            <w:r>
              <w:rPr>
                <w:rFonts w:ascii="宋体" w:hAnsi="宋体" w:cs="宋体"/>
                <w:color w:val="auto"/>
                <w:szCs w:val="21"/>
                <w:highlight w:val="none"/>
              </w:rPr>
              <w:t>/</w:t>
            </w:r>
            <w:r>
              <w:rPr>
                <w:rFonts w:hint="eastAsia" w:ascii="宋体" w:hAnsi="宋体" w:cs="宋体"/>
                <w:color w:val="auto"/>
                <w:szCs w:val="21"/>
                <w:highlight w:val="none"/>
              </w:rPr>
              <w:t>万元</w:t>
            </w:r>
          </w:p>
        </w:tc>
        <w:tc>
          <w:tcPr>
            <w:tcW w:w="2049" w:type="dxa"/>
            <w:vAlign w:val="center"/>
          </w:tcPr>
          <w:p>
            <w:pPr>
              <w:widowControl/>
              <w:jc w:val="center"/>
              <w:textAlignment w:val="center"/>
              <w:rPr>
                <w:rFonts w:ascii="宋体" w:cs="宋体"/>
                <w:color w:val="auto"/>
                <w:szCs w:val="21"/>
                <w:highlight w:val="none"/>
              </w:rPr>
            </w:pPr>
            <w:r>
              <w:rPr>
                <w:rFonts w:ascii="宋体" w:hAnsi="宋体" w:cs="宋体"/>
                <w:color w:val="auto"/>
                <w:kern w:val="0"/>
                <w:szCs w:val="21"/>
                <w:highlight w:val="none"/>
              </w:rPr>
              <w:t>0.31</w:t>
            </w:r>
          </w:p>
        </w:tc>
      </w:tr>
    </w:tbl>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由上表看出，本项目投产后满负荷生产正常年份的单位工业增加值综合能源消费量为</w:t>
      </w:r>
      <w:r>
        <w:rPr>
          <w:rFonts w:ascii="宋体" w:cs="宋体"/>
          <w:color w:val="auto"/>
          <w:sz w:val="28"/>
          <w:szCs w:val="28"/>
          <w:highlight w:val="none"/>
          <w:lang w:val="zh-CN"/>
        </w:rPr>
        <w:t>0.</w:t>
      </w:r>
      <w:r>
        <w:rPr>
          <w:rFonts w:ascii="宋体" w:hAnsi="宋体" w:cs="宋体"/>
          <w:color w:val="auto"/>
          <w:sz w:val="28"/>
          <w:szCs w:val="28"/>
          <w:highlight w:val="none"/>
        </w:rPr>
        <w:t>31</w:t>
      </w:r>
      <w:r>
        <w:rPr>
          <w:rFonts w:hint="eastAsia" w:ascii="宋体" w:hAnsi="宋体" w:cs="宋体"/>
          <w:color w:val="auto"/>
          <w:sz w:val="28"/>
          <w:szCs w:val="28"/>
          <w:highlight w:val="none"/>
          <w:lang w:val="zh-CN"/>
        </w:rPr>
        <w:t>吨标准煤</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万元。</w:t>
      </w:r>
    </w:p>
    <w:p>
      <w:pPr>
        <w:pStyle w:val="33"/>
        <w:spacing w:line="560" w:lineRule="exact"/>
        <w:ind w:firstLine="31680"/>
        <w:outlineLvl w:val="1"/>
        <w:rPr>
          <w:rFonts w:ascii="宋体" w:cs="宋体"/>
          <w:color w:val="auto"/>
          <w:sz w:val="28"/>
          <w:szCs w:val="28"/>
          <w:highlight w:val="none"/>
        </w:rPr>
      </w:pPr>
      <w:bookmarkStart w:id="702" w:name="_Toc5566"/>
      <w:bookmarkStart w:id="703" w:name="_Toc6553"/>
      <w:bookmarkStart w:id="704" w:name="_Toc459109134"/>
      <w:bookmarkStart w:id="705" w:name="_Toc26730_WPSOffice_Level2"/>
      <w:bookmarkStart w:id="706" w:name="_Toc20265"/>
      <w:bookmarkStart w:id="707" w:name="_Toc27135_WPSOffice_Level2"/>
      <w:bookmarkStart w:id="708" w:name="_Toc2720"/>
      <w:r>
        <w:rPr>
          <w:rFonts w:ascii="宋体" w:hAnsi="宋体" w:cs="宋体"/>
          <w:color w:val="auto"/>
          <w:sz w:val="28"/>
          <w:szCs w:val="28"/>
          <w:highlight w:val="none"/>
        </w:rPr>
        <w:t>9.3</w:t>
      </w:r>
      <w:r>
        <w:rPr>
          <w:rFonts w:hint="eastAsia" w:ascii="宋体" w:hAnsi="宋体" w:cs="宋体"/>
          <w:color w:val="auto"/>
          <w:sz w:val="28"/>
          <w:szCs w:val="28"/>
          <w:highlight w:val="none"/>
        </w:rPr>
        <w:t>项目节能分析与措施</w:t>
      </w:r>
      <w:bookmarkEnd w:id="702"/>
      <w:bookmarkEnd w:id="703"/>
      <w:bookmarkEnd w:id="704"/>
      <w:bookmarkEnd w:id="705"/>
      <w:bookmarkEnd w:id="706"/>
      <w:bookmarkEnd w:id="707"/>
      <w:bookmarkEnd w:id="708"/>
    </w:p>
    <w:p>
      <w:pPr>
        <w:pStyle w:val="33"/>
        <w:spacing w:line="560" w:lineRule="exact"/>
        <w:ind w:firstLine="31680"/>
        <w:rPr>
          <w:rFonts w:ascii="宋体" w:cs="宋体"/>
          <w:color w:val="auto"/>
          <w:sz w:val="28"/>
          <w:szCs w:val="28"/>
          <w:highlight w:val="none"/>
        </w:rPr>
      </w:pPr>
      <w:bookmarkStart w:id="709" w:name="_Toc8684"/>
      <w:r>
        <w:rPr>
          <w:rFonts w:ascii="宋体" w:hAnsi="宋体" w:cs="宋体"/>
          <w:color w:val="auto"/>
          <w:sz w:val="28"/>
          <w:szCs w:val="28"/>
          <w:highlight w:val="none"/>
        </w:rPr>
        <w:t xml:space="preserve">9.3.1 </w:t>
      </w:r>
      <w:r>
        <w:rPr>
          <w:rFonts w:hint="eastAsia" w:ascii="宋体" w:hAnsi="宋体" w:cs="宋体"/>
          <w:color w:val="auto"/>
          <w:sz w:val="28"/>
          <w:szCs w:val="28"/>
          <w:highlight w:val="none"/>
        </w:rPr>
        <w:t>全厂综合性节能技术和措施</w:t>
      </w:r>
      <w:bookmarkEnd w:id="709"/>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rPr>
        <w:t>1</w:t>
      </w:r>
      <w:r>
        <w:rPr>
          <w:rFonts w:hint="eastAsia" w:ascii="宋体" w:hAnsi="宋体" w:cs="宋体"/>
          <w:color w:val="auto"/>
          <w:sz w:val="28"/>
          <w:szCs w:val="28"/>
          <w:highlight w:val="none"/>
        </w:rPr>
        <w:t>）根据生产装置与辅助装置的协作，在总图布置布管便于输送，</w:t>
      </w:r>
      <w:r>
        <w:rPr>
          <w:rFonts w:hint="eastAsia" w:ascii="宋体" w:hAnsi="宋体" w:cs="宋体"/>
          <w:color w:val="auto"/>
          <w:sz w:val="28"/>
          <w:szCs w:val="28"/>
          <w:highlight w:val="none"/>
          <w:lang w:val="zh-CN"/>
        </w:rPr>
        <w:t>减少输送能耗损失。</w:t>
      </w:r>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lang w:val="zh-CN"/>
        </w:rPr>
        <w:t>2</w:t>
      </w:r>
      <w:r>
        <w:rPr>
          <w:rFonts w:hint="eastAsia" w:ascii="宋体" w:hAnsi="宋体" w:cs="宋体"/>
          <w:color w:val="auto"/>
          <w:sz w:val="28"/>
          <w:szCs w:val="28"/>
          <w:highlight w:val="none"/>
          <w:lang w:val="zh-CN"/>
        </w:rPr>
        <w:t>）选用节能型电器设备。</w:t>
      </w:r>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lang w:val="zh-CN"/>
        </w:rPr>
        <w:t>3</w:t>
      </w:r>
      <w:r>
        <w:rPr>
          <w:rFonts w:hint="eastAsia" w:ascii="宋体" w:hAnsi="宋体" w:cs="宋体"/>
          <w:color w:val="auto"/>
          <w:sz w:val="28"/>
          <w:szCs w:val="28"/>
          <w:highlight w:val="none"/>
          <w:lang w:val="zh-CN"/>
        </w:rPr>
        <w:t>）加强计量管理，配齐、配足计量仪表，定期校核。对控制仪表尽可能采用智能型自动控制系统，尽可能做到对能源的节约。对各个部门进行计量考核，制定奖罚制度，杜绝“跑、冒、滴、漏”现象。</w:t>
      </w:r>
    </w:p>
    <w:p>
      <w:pPr>
        <w:pStyle w:val="33"/>
        <w:spacing w:line="560" w:lineRule="exact"/>
        <w:ind w:firstLine="31680"/>
        <w:rPr>
          <w:rFonts w:ascii="宋体" w:cs="宋体"/>
          <w:color w:val="auto"/>
          <w:sz w:val="28"/>
          <w:szCs w:val="28"/>
          <w:highlight w:val="none"/>
          <w:lang w:val="zh-CN"/>
        </w:rPr>
      </w:pPr>
      <w:bookmarkStart w:id="710" w:name="_Toc305919331"/>
      <w:bookmarkStart w:id="711" w:name="_Toc304302995"/>
      <w:bookmarkStart w:id="712" w:name="_Toc219798440"/>
      <w:bookmarkStart w:id="713" w:name="_Toc17430"/>
      <w:r>
        <w:rPr>
          <w:rFonts w:ascii="宋体" w:hAnsi="宋体" w:cs="宋体"/>
          <w:color w:val="auto"/>
          <w:sz w:val="28"/>
          <w:szCs w:val="28"/>
          <w:highlight w:val="none"/>
          <w:lang w:val="zh-CN"/>
        </w:rPr>
        <w:t>9.</w:t>
      </w:r>
      <w:r>
        <w:rPr>
          <w:rFonts w:ascii="宋体" w:hAnsi="宋体" w:cs="宋体"/>
          <w:color w:val="auto"/>
          <w:sz w:val="28"/>
          <w:szCs w:val="28"/>
          <w:highlight w:val="none"/>
        </w:rPr>
        <w:t>3</w:t>
      </w:r>
      <w:r>
        <w:rPr>
          <w:rFonts w:ascii="宋体" w:hAnsi="宋体" w:cs="宋体"/>
          <w:color w:val="auto"/>
          <w:sz w:val="28"/>
          <w:szCs w:val="28"/>
          <w:highlight w:val="none"/>
          <w:lang w:val="zh-CN"/>
        </w:rPr>
        <w:t xml:space="preserve">.2 </w:t>
      </w:r>
      <w:r>
        <w:rPr>
          <w:rFonts w:hint="eastAsia" w:ascii="宋体" w:hAnsi="宋体" w:cs="宋体"/>
          <w:color w:val="auto"/>
          <w:sz w:val="28"/>
          <w:szCs w:val="28"/>
          <w:highlight w:val="none"/>
          <w:lang w:val="zh-CN"/>
        </w:rPr>
        <w:t>装置工艺过程中的节能措施</w:t>
      </w:r>
      <w:bookmarkEnd w:id="710"/>
      <w:bookmarkEnd w:id="711"/>
      <w:bookmarkEnd w:id="712"/>
      <w:bookmarkEnd w:id="713"/>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lang w:val="zh-CN"/>
        </w:rPr>
        <w:t>1</w:t>
      </w:r>
      <w:r>
        <w:rPr>
          <w:rFonts w:hint="eastAsia" w:ascii="宋体" w:hAnsi="宋体" w:cs="宋体"/>
          <w:color w:val="auto"/>
          <w:sz w:val="28"/>
          <w:szCs w:val="28"/>
          <w:highlight w:val="none"/>
          <w:lang w:val="zh-CN"/>
        </w:rPr>
        <w:t>）一律不采用已公布淘汰的机电产品。</w:t>
      </w:r>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lang w:val="zh-CN"/>
        </w:rPr>
        <w:t>2)</w:t>
      </w:r>
      <w:r>
        <w:rPr>
          <w:rFonts w:hint="eastAsia" w:ascii="宋体" w:hAnsi="宋体" w:cs="宋体"/>
          <w:color w:val="auto"/>
          <w:sz w:val="28"/>
          <w:szCs w:val="28"/>
          <w:highlight w:val="none"/>
          <w:lang w:val="zh-CN"/>
        </w:rPr>
        <w:t>采用先进高效节能设备，优化节能设计及操作工况。如风机采用变频风机。</w:t>
      </w:r>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lang w:val="zh-CN"/>
        </w:rPr>
        <w:t>3)</w:t>
      </w:r>
      <w:r>
        <w:rPr>
          <w:rFonts w:hint="eastAsia" w:ascii="宋体" w:hAnsi="宋体" w:cs="宋体"/>
          <w:color w:val="auto"/>
          <w:sz w:val="28"/>
          <w:szCs w:val="28"/>
          <w:highlight w:val="none"/>
          <w:lang w:val="zh-CN"/>
        </w:rPr>
        <w:t>做好管道设备保冷隔热措施，尽可能减少工艺过程中能量损失。</w:t>
      </w:r>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lang w:val="zh-CN"/>
        </w:rPr>
        <w:t>4)</w:t>
      </w:r>
      <w:r>
        <w:rPr>
          <w:rFonts w:hint="eastAsia" w:ascii="宋体" w:hAnsi="宋体" w:cs="宋体"/>
          <w:color w:val="auto"/>
          <w:sz w:val="28"/>
          <w:szCs w:val="28"/>
          <w:highlight w:val="none"/>
          <w:lang w:val="zh-CN"/>
        </w:rPr>
        <w:t>为贯彻国家节能减排措施，符合国家用电用能规范，节约用电，合理用电。</w:t>
      </w:r>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lang w:val="zh-CN"/>
        </w:rPr>
        <w:t>5</w:t>
      </w:r>
      <w:r>
        <w:rPr>
          <w:rFonts w:hint="eastAsia" w:ascii="宋体" w:hAnsi="宋体" w:cs="宋体"/>
          <w:color w:val="auto"/>
          <w:sz w:val="28"/>
          <w:szCs w:val="28"/>
          <w:highlight w:val="none"/>
          <w:lang w:val="zh-CN"/>
        </w:rPr>
        <w:t>）车间内的照明等选用高效节能防爆型灯具。</w:t>
      </w:r>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lang w:val="zh-CN"/>
        </w:rPr>
        <w:t>6</w:t>
      </w:r>
      <w:r>
        <w:rPr>
          <w:rFonts w:hint="eastAsia" w:ascii="宋体" w:hAnsi="宋体" w:cs="宋体"/>
          <w:color w:val="auto"/>
          <w:sz w:val="28"/>
          <w:szCs w:val="28"/>
          <w:highlight w:val="none"/>
          <w:lang w:val="zh-CN"/>
        </w:rPr>
        <w:t>）优化配置，避免大马拉小车的现象。</w:t>
      </w:r>
    </w:p>
    <w:p>
      <w:pPr>
        <w:pStyle w:val="33"/>
        <w:spacing w:line="560" w:lineRule="exact"/>
        <w:ind w:firstLine="31680"/>
        <w:rPr>
          <w:rFonts w:ascii="宋体" w:cs="宋体"/>
          <w:color w:val="auto"/>
          <w:sz w:val="28"/>
          <w:szCs w:val="28"/>
          <w:highlight w:val="none"/>
          <w:lang w:val="zh-CN"/>
        </w:rPr>
      </w:pPr>
    </w:p>
    <w:p>
      <w:pPr>
        <w:pStyle w:val="33"/>
        <w:spacing w:line="560" w:lineRule="exact"/>
        <w:ind w:firstLine="31680"/>
        <w:rPr>
          <w:rFonts w:ascii="宋体" w:cs="宋体"/>
          <w:color w:val="auto"/>
          <w:sz w:val="28"/>
          <w:szCs w:val="28"/>
          <w:highlight w:val="none"/>
          <w:lang w:val="zh-CN"/>
        </w:rPr>
        <w:sectPr>
          <w:pgSz w:w="11906" w:h="16838"/>
          <w:pgMar w:top="1440" w:right="1800" w:bottom="1440" w:left="1800" w:header="851" w:footer="992" w:gutter="0"/>
          <w:cols w:space="425" w:num="1"/>
          <w:docGrid w:type="lines" w:linePitch="312" w:charSpace="0"/>
        </w:sectPr>
      </w:pPr>
    </w:p>
    <w:p>
      <w:pPr>
        <w:pStyle w:val="2"/>
        <w:spacing w:before="0" w:after="0" w:line="560" w:lineRule="exact"/>
        <w:jc w:val="center"/>
        <w:rPr>
          <w:rFonts w:ascii="宋体" w:cs="宋体"/>
          <w:color w:val="auto"/>
          <w:sz w:val="32"/>
          <w:szCs w:val="32"/>
          <w:highlight w:val="none"/>
          <w:lang w:val="zh-CN"/>
        </w:rPr>
      </w:pPr>
      <w:bookmarkStart w:id="714" w:name="_Toc28025"/>
      <w:bookmarkStart w:id="715" w:name="_Toc25192"/>
      <w:bookmarkStart w:id="716" w:name="_Toc14532"/>
      <w:r>
        <w:rPr>
          <w:rFonts w:hint="eastAsia" w:ascii="宋体" w:hAnsi="宋体" w:cs="宋体"/>
          <w:color w:val="auto"/>
          <w:sz w:val="32"/>
          <w:szCs w:val="32"/>
          <w:highlight w:val="none"/>
          <w:lang w:val="zh-CN"/>
        </w:rPr>
        <w:t>第十章</w:t>
      </w:r>
      <w:r>
        <w:rPr>
          <w:rFonts w:ascii="宋体" w:hAnsi="宋体" w:cs="宋体"/>
          <w:color w:val="auto"/>
          <w:sz w:val="32"/>
          <w:szCs w:val="32"/>
          <w:highlight w:val="none"/>
          <w:lang w:val="zh-CN"/>
        </w:rPr>
        <w:t xml:space="preserve"> </w:t>
      </w:r>
      <w:r>
        <w:rPr>
          <w:rFonts w:hint="eastAsia" w:ascii="宋体" w:hAnsi="宋体" w:cs="宋体"/>
          <w:color w:val="auto"/>
          <w:sz w:val="32"/>
          <w:szCs w:val="32"/>
          <w:highlight w:val="none"/>
          <w:lang w:val="zh-CN"/>
        </w:rPr>
        <w:t>消防</w:t>
      </w:r>
      <w:bookmarkEnd w:id="714"/>
      <w:bookmarkEnd w:id="715"/>
      <w:bookmarkEnd w:id="716"/>
    </w:p>
    <w:p>
      <w:pPr>
        <w:pStyle w:val="33"/>
        <w:spacing w:line="560" w:lineRule="exact"/>
        <w:ind w:firstLine="31680"/>
        <w:outlineLvl w:val="1"/>
        <w:rPr>
          <w:rFonts w:ascii="宋体" w:cs="宋体"/>
          <w:color w:val="auto"/>
          <w:sz w:val="28"/>
          <w:szCs w:val="28"/>
          <w:highlight w:val="none"/>
          <w:lang w:val="zh-CN"/>
        </w:rPr>
      </w:pPr>
      <w:bookmarkStart w:id="717" w:name="_Toc88554353"/>
      <w:bookmarkStart w:id="718" w:name="_Toc22967"/>
      <w:bookmarkStart w:id="719" w:name="_Toc72207938"/>
      <w:bookmarkStart w:id="720" w:name="_Toc129423228"/>
      <w:bookmarkStart w:id="721" w:name="_Toc30641"/>
      <w:bookmarkStart w:id="722" w:name="_Toc167781592"/>
      <w:bookmarkStart w:id="723" w:name="_Toc24631"/>
      <w:bookmarkStart w:id="724" w:name="_Toc16729"/>
      <w:bookmarkStart w:id="725" w:name="_Toc173057538"/>
      <w:bookmarkStart w:id="726" w:name="_Toc358793968"/>
      <w:bookmarkStart w:id="727" w:name="_Toc18768"/>
      <w:bookmarkStart w:id="728" w:name="_Toc29559"/>
      <w:bookmarkStart w:id="729" w:name="_Toc32524"/>
      <w:bookmarkStart w:id="730" w:name="_Toc397"/>
      <w:bookmarkStart w:id="731" w:name="_Toc9229"/>
      <w:bookmarkStart w:id="732" w:name="_Toc92100813"/>
      <w:bookmarkStart w:id="733" w:name="_Toc6547"/>
      <w:bookmarkStart w:id="734" w:name="_Toc30449"/>
      <w:bookmarkStart w:id="735" w:name="_Toc32692"/>
      <w:bookmarkStart w:id="736" w:name="_Toc9158"/>
      <w:bookmarkStart w:id="737" w:name="_Toc129483936"/>
      <w:bookmarkStart w:id="738" w:name="_Toc27651"/>
      <w:bookmarkStart w:id="739" w:name="_Toc10553"/>
      <w:bookmarkStart w:id="740" w:name="_Toc15623"/>
      <w:bookmarkStart w:id="741" w:name="_Toc13572"/>
      <w:bookmarkStart w:id="742" w:name="_Toc167809698"/>
      <w:bookmarkStart w:id="743" w:name="_Toc243131995"/>
      <w:bookmarkStart w:id="744" w:name="_Toc19523"/>
      <w:bookmarkStart w:id="745" w:name="_Toc19463"/>
      <w:bookmarkStart w:id="746" w:name="_Toc330911998"/>
      <w:bookmarkStart w:id="747" w:name="_Toc13538"/>
      <w:bookmarkStart w:id="748" w:name="_Toc156271720"/>
      <w:bookmarkStart w:id="749" w:name="_Toc12217"/>
      <w:bookmarkStart w:id="750" w:name="_Toc8105"/>
      <w:bookmarkStart w:id="751" w:name="_Toc82050995"/>
      <w:r>
        <w:rPr>
          <w:rFonts w:ascii="宋体" w:hAnsi="宋体" w:cs="宋体"/>
          <w:color w:val="auto"/>
          <w:sz w:val="28"/>
          <w:szCs w:val="28"/>
          <w:highlight w:val="none"/>
          <w:lang w:val="zh-CN"/>
        </w:rPr>
        <w:t xml:space="preserve">10.1 </w:t>
      </w:r>
      <w:r>
        <w:rPr>
          <w:rFonts w:hint="eastAsia" w:ascii="宋体" w:hAnsi="宋体" w:cs="宋体"/>
          <w:color w:val="auto"/>
          <w:sz w:val="28"/>
          <w:szCs w:val="28"/>
          <w:highlight w:val="none"/>
          <w:lang w:val="zh-CN"/>
        </w:rPr>
        <w:t>消防体制和贯彻方针</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采用专职消防和义务消防相结合的消防体制，设置必要的岗位应急使用的消防设施。贯彻“预防为主、防消结合，减少火灾损失，保障人身和财产安全”的消防原则。严格执行国家有关的设计防火规范，采取可靠的防范措施，防止和减少火灾危害；严格执行国家各项抗灾防火技术和行政法规，积极采用先进成熟的抗灾防灾技术，做到设施可靠、技术先进、经济合理、便于操作。</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消防设施根据规模、火灾危险及邻近有关单位的消防协作条件等因素综合考虑确定。消防设施与主体工程同时设计、同时施工、同时投入生产和使用。</w:t>
      </w:r>
    </w:p>
    <w:p>
      <w:pPr>
        <w:pStyle w:val="33"/>
        <w:spacing w:line="560" w:lineRule="exact"/>
        <w:ind w:firstLine="31680"/>
        <w:outlineLvl w:val="1"/>
        <w:rPr>
          <w:rFonts w:ascii="宋体" w:cs="宋体"/>
          <w:color w:val="auto"/>
          <w:sz w:val="28"/>
          <w:szCs w:val="28"/>
          <w:highlight w:val="none"/>
          <w:lang w:val="zh-CN"/>
        </w:rPr>
      </w:pPr>
      <w:bookmarkStart w:id="752" w:name="_Toc2480"/>
      <w:bookmarkStart w:id="753" w:name="_Toc16513"/>
      <w:bookmarkStart w:id="754" w:name="_Toc21235"/>
      <w:bookmarkStart w:id="755" w:name="_Toc358793969"/>
      <w:bookmarkStart w:id="756" w:name="_Toc330911999"/>
      <w:bookmarkStart w:id="757" w:name="_Toc5306"/>
      <w:bookmarkStart w:id="758" w:name="_Toc11226"/>
      <w:bookmarkStart w:id="759" w:name="_Toc20465"/>
      <w:bookmarkStart w:id="760" w:name="_Toc27168"/>
      <w:bookmarkStart w:id="761" w:name="_Toc3611"/>
      <w:bookmarkStart w:id="762" w:name="_Toc6117"/>
      <w:bookmarkStart w:id="763" w:name="_Toc13290"/>
      <w:bookmarkStart w:id="764" w:name="_Toc2835"/>
      <w:bookmarkStart w:id="765" w:name="_Toc243131996"/>
      <w:bookmarkStart w:id="766" w:name="_Toc26968"/>
      <w:bookmarkStart w:id="767" w:name="_Toc15628"/>
      <w:bookmarkStart w:id="768" w:name="_Toc32199"/>
      <w:bookmarkStart w:id="769" w:name="_Toc30380"/>
      <w:bookmarkStart w:id="770" w:name="_Toc21137"/>
      <w:bookmarkStart w:id="771" w:name="_Toc17105"/>
      <w:bookmarkStart w:id="772" w:name="_Toc3520"/>
      <w:bookmarkStart w:id="773" w:name="_Toc18870"/>
      <w:bookmarkStart w:id="774" w:name="_Toc1172"/>
      <w:bookmarkStart w:id="775" w:name="_Toc10822"/>
      <w:bookmarkStart w:id="776" w:name="_Toc448"/>
      <w:r>
        <w:rPr>
          <w:rFonts w:ascii="宋体" w:hAnsi="宋体" w:cs="宋体"/>
          <w:color w:val="auto"/>
          <w:sz w:val="28"/>
          <w:szCs w:val="28"/>
          <w:highlight w:val="none"/>
          <w:lang w:val="zh-CN"/>
        </w:rPr>
        <w:t xml:space="preserve">10.2 </w:t>
      </w:r>
      <w:r>
        <w:rPr>
          <w:rFonts w:hint="eastAsia" w:ascii="宋体" w:hAnsi="宋体" w:cs="宋体"/>
          <w:color w:val="auto"/>
          <w:sz w:val="28"/>
          <w:szCs w:val="28"/>
          <w:highlight w:val="none"/>
          <w:lang w:val="zh-CN"/>
        </w:rPr>
        <w:t>编制依据</w:t>
      </w:r>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p>
    <w:p>
      <w:pPr>
        <w:pStyle w:val="33"/>
        <w:spacing w:line="560" w:lineRule="exact"/>
        <w:ind w:firstLine="31680"/>
        <w:rPr>
          <w:rFonts w:ascii="宋体" w:cs="宋体"/>
          <w:color w:val="auto"/>
          <w:sz w:val="28"/>
          <w:szCs w:val="28"/>
          <w:highlight w:val="none"/>
        </w:rPr>
      </w:pPr>
      <w:bookmarkStart w:id="777" w:name="_Toc243131997"/>
      <w:bookmarkStart w:id="778" w:name="_Toc129423230"/>
      <w:bookmarkStart w:id="779" w:name="_Toc330912000"/>
      <w:bookmarkStart w:id="780" w:name="_Toc358793970"/>
      <w:bookmarkStart w:id="781" w:name="_Toc16640"/>
      <w:bookmarkStart w:id="782" w:name="_Toc5093"/>
      <w:bookmarkStart w:id="783" w:name="_Toc15270"/>
      <w:bookmarkStart w:id="784" w:name="_Toc7089"/>
      <w:bookmarkStart w:id="785" w:name="_Toc28444"/>
      <w:bookmarkStart w:id="786" w:name="_Toc4644"/>
      <w:bookmarkStart w:id="787" w:name="_Toc32321"/>
      <w:bookmarkStart w:id="788" w:name="_Toc31683"/>
      <w:bookmarkStart w:id="789" w:name="_Toc31548"/>
      <w:bookmarkStart w:id="790" w:name="_Toc9064"/>
      <w:bookmarkStart w:id="791" w:name="_Toc6667"/>
      <w:bookmarkStart w:id="792" w:name="_Toc11787"/>
      <w:bookmarkStart w:id="793" w:name="_Toc30017"/>
      <w:bookmarkStart w:id="794" w:name="_Toc21426"/>
      <w:bookmarkStart w:id="795" w:name="_Toc30887"/>
      <w:bookmarkStart w:id="796" w:name="_Toc7788"/>
      <w:bookmarkStart w:id="797" w:name="_Toc3462"/>
      <w:bookmarkStart w:id="798" w:name="_Toc24971"/>
      <w:bookmarkStart w:id="799" w:name="_Toc4451"/>
      <w:bookmarkStart w:id="800" w:name="_Toc3387"/>
      <w:r>
        <w:rPr>
          <w:rFonts w:hint="eastAsia" w:ascii="宋体" w:hAnsi="宋体" w:cs="宋体"/>
          <w:color w:val="auto"/>
          <w:sz w:val="28"/>
          <w:szCs w:val="28"/>
          <w:highlight w:val="none"/>
          <w:lang w:val="zh-CN"/>
        </w:rPr>
        <w:t>《中华人民共和国消防法》</w:t>
      </w:r>
      <w:r>
        <w:rPr>
          <w:rFonts w:ascii="宋体" w:hAnsi="宋体" w:cs="宋体"/>
          <w:color w:val="auto"/>
          <w:sz w:val="28"/>
          <w:szCs w:val="28"/>
          <w:highlight w:val="none"/>
        </w:rPr>
        <w:t>2019</w:t>
      </w:r>
      <w:r>
        <w:rPr>
          <w:rFonts w:hint="eastAsia" w:ascii="宋体" w:hAnsi="宋体" w:cs="宋体"/>
          <w:color w:val="auto"/>
          <w:sz w:val="28"/>
          <w:szCs w:val="28"/>
          <w:highlight w:val="none"/>
        </w:rPr>
        <w:t>年</w:t>
      </w:r>
      <w:r>
        <w:rPr>
          <w:rFonts w:ascii="宋体" w:hAnsi="宋体" w:cs="宋体"/>
          <w:color w:val="auto"/>
          <w:sz w:val="28"/>
          <w:szCs w:val="28"/>
          <w:highlight w:val="none"/>
        </w:rPr>
        <w:t>4</w:t>
      </w:r>
      <w:r>
        <w:rPr>
          <w:rFonts w:hint="eastAsia" w:ascii="宋体" w:hAnsi="宋体" w:cs="宋体"/>
          <w:color w:val="auto"/>
          <w:sz w:val="28"/>
          <w:szCs w:val="28"/>
          <w:highlight w:val="none"/>
        </w:rPr>
        <w:t>月</w:t>
      </w:r>
      <w:r>
        <w:rPr>
          <w:rFonts w:ascii="宋体" w:hAnsi="宋体" w:cs="宋体"/>
          <w:color w:val="auto"/>
          <w:sz w:val="28"/>
          <w:szCs w:val="28"/>
          <w:highlight w:val="none"/>
        </w:rPr>
        <w:t>23</w:t>
      </w:r>
      <w:r>
        <w:rPr>
          <w:rFonts w:hint="eastAsia" w:ascii="宋体" w:hAnsi="宋体" w:cs="宋体"/>
          <w:color w:val="auto"/>
          <w:sz w:val="28"/>
          <w:szCs w:val="28"/>
          <w:highlight w:val="none"/>
        </w:rPr>
        <w:t>日修正</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lang w:val="zh-CN"/>
        </w:rPr>
        <w:t>《建设工程消防监督管理规定》中华人民共和国公安部</w:t>
      </w:r>
      <w:r>
        <w:rPr>
          <w:rFonts w:hint="eastAsia" w:ascii="宋体" w:hAnsi="宋体" w:cs="宋体"/>
          <w:color w:val="auto"/>
          <w:sz w:val="28"/>
          <w:szCs w:val="28"/>
          <w:highlight w:val="none"/>
        </w:rPr>
        <w:t>令第</w:t>
      </w:r>
      <w:r>
        <w:rPr>
          <w:rFonts w:ascii="宋体" w:hAnsi="宋体" w:cs="宋体"/>
          <w:color w:val="auto"/>
          <w:sz w:val="28"/>
          <w:szCs w:val="28"/>
          <w:highlight w:val="none"/>
        </w:rPr>
        <w:t>106</w:t>
      </w:r>
      <w:r>
        <w:rPr>
          <w:rFonts w:hint="eastAsia" w:ascii="宋体" w:hAnsi="宋体" w:cs="宋体"/>
          <w:color w:val="auto"/>
          <w:sz w:val="28"/>
          <w:szCs w:val="28"/>
          <w:highlight w:val="none"/>
        </w:rPr>
        <w:t>号</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《建筑设计防火规范（</w:t>
      </w:r>
      <w:r>
        <w:rPr>
          <w:rFonts w:ascii="宋体" w:hAnsi="宋体" w:cs="宋体"/>
          <w:color w:val="auto"/>
          <w:sz w:val="28"/>
          <w:szCs w:val="28"/>
          <w:highlight w:val="none"/>
          <w:lang w:val="zh-CN"/>
        </w:rPr>
        <w:t>2018</w:t>
      </w:r>
      <w:r>
        <w:rPr>
          <w:rFonts w:hint="eastAsia" w:ascii="宋体" w:hAnsi="宋体" w:cs="宋体"/>
          <w:color w:val="auto"/>
          <w:sz w:val="28"/>
          <w:szCs w:val="28"/>
          <w:highlight w:val="none"/>
          <w:lang w:val="zh-CN"/>
        </w:rPr>
        <w:t>版）》</w:t>
      </w:r>
      <w:r>
        <w:rPr>
          <w:rFonts w:ascii="宋体" w:hAnsi="宋体" w:cs="宋体"/>
          <w:color w:val="auto"/>
          <w:sz w:val="28"/>
          <w:szCs w:val="28"/>
          <w:highlight w:val="none"/>
          <w:lang w:val="zh-CN"/>
        </w:rPr>
        <w:t>GB50016</w:t>
      </w:r>
      <w:r>
        <w:rPr>
          <w:rFonts w:hint="eastAsia" w:ascii="宋体" w:hAnsi="宋体" w:cs="宋体"/>
          <w:color w:val="auto"/>
          <w:sz w:val="28"/>
          <w:szCs w:val="28"/>
          <w:highlight w:val="none"/>
          <w:lang w:val="zh-CN"/>
        </w:rPr>
        <w:t>－</w:t>
      </w:r>
      <w:r>
        <w:rPr>
          <w:rFonts w:ascii="宋体" w:hAnsi="宋体" w:cs="宋体"/>
          <w:color w:val="auto"/>
          <w:sz w:val="28"/>
          <w:szCs w:val="28"/>
          <w:highlight w:val="none"/>
          <w:lang w:val="zh-CN"/>
        </w:rPr>
        <w:t>2014</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《建筑灭火器配置设计规范》</w:t>
      </w:r>
      <w:r>
        <w:rPr>
          <w:rFonts w:ascii="宋体" w:hAnsi="宋体" w:cs="宋体"/>
          <w:color w:val="auto"/>
          <w:sz w:val="28"/>
          <w:szCs w:val="28"/>
          <w:highlight w:val="none"/>
          <w:lang w:val="zh-CN"/>
        </w:rPr>
        <w:t>GB50140-2005</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《火灾自动报警系统设计规范》</w:t>
      </w:r>
      <w:r>
        <w:rPr>
          <w:rFonts w:ascii="宋体" w:hAnsi="宋体" w:cs="宋体"/>
          <w:color w:val="auto"/>
          <w:sz w:val="28"/>
          <w:szCs w:val="28"/>
          <w:highlight w:val="none"/>
          <w:lang w:val="zh-CN"/>
        </w:rPr>
        <w:t xml:space="preserve"> GB50116</w:t>
      </w:r>
      <w:r>
        <w:rPr>
          <w:rFonts w:ascii="宋体" w:cs="宋体"/>
          <w:color w:val="auto"/>
          <w:sz w:val="28"/>
          <w:szCs w:val="28"/>
          <w:highlight w:val="none"/>
        </w:rPr>
        <w:t>-</w:t>
      </w:r>
      <w:r>
        <w:rPr>
          <w:rFonts w:ascii="宋体" w:hAnsi="宋体" w:cs="宋体"/>
          <w:color w:val="auto"/>
          <w:sz w:val="28"/>
          <w:szCs w:val="28"/>
          <w:highlight w:val="none"/>
          <w:lang w:val="zh-CN"/>
        </w:rPr>
        <w:t>2013</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《爆炸和火灾危险环境电力装置设计规范》</w:t>
      </w:r>
      <w:r>
        <w:rPr>
          <w:rFonts w:ascii="宋体" w:hAnsi="宋体" w:cs="宋体"/>
          <w:color w:val="auto"/>
          <w:sz w:val="28"/>
          <w:szCs w:val="28"/>
          <w:highlight w:val="none"/>
          <w:lang w:val="zh-CN"/>
        </w:rPr>
        <w:t>GB50058</w:t>
      </w:r>
      <w:r>
        <w:rPr>
          <w:rFonts w:ascii="宋体" w:cs="宋体"/>
          <w:color w:val="auto"/>
          <w:sz w:val="28"/>
          <w:szCs w:val="28"/>
          <w:highlight w:val="none"/>
        </w:rPr>
        <w:t>-</w:t>
      </w:r>
      <w:r>
        <w:rPr>
          <w:rFonts w:ascii="宋体" w:hAnsi="宋体" w:cs="宋体"/>
          <w:color w:val="auto"/>
          <w:sz w:val="28"/>
          <w:szCs w:val="28"/>
          <w:highlight w:val="none"/>
          <w:lang w:val="zh-CN"/>
        </w:rPr>
        <w:t>2014</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《建筑物防雷设计规范》</w:t>
      </w:r>
      <w:r>
        <w:rPr>
          <w:rFonts w:ascii="宋体" w:hAnsi="宋体" w:cs="宋体"/>
          <w:color w:val="auto"/>
          <w:sz w:val="28"/>
          <w:szCs w:val="28"/>
          <w:highlight w:val="none"/>
          <w:lang w:val="zh-CN"/>
        </w:rPr>
        <w:t xml:space="preserve"> GB50057</w:t>
      </w:r>
      <w:r>
        <w:rPr>
          <w:rFonts w:ascii="宋体" w:cs="宋体"/>
          <w:color w:val="auto"/>
          <w:sz w:val="28"/>
          <w:szCs w:val="28"/>
          <w:highlight w:val="none"/>
        </w:rPr>
        <w:t>-</w:t>
      </w:r>
      <w:r>
        <w:rPr>
          <w:rFonts w:ascii="宋体" w:hAnsi="宋体" w:cs="宋体"/>
          <w:color w:val="auto"/>
          <w:sz w:val="28"/>
          <w:szCs w:val="28"/>
          <w:highlight w:val="none"/>
          <w:lang w:val="zh-CN"/>
        </w:rPr>
        <w:t>2010</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《泡沫灭火系统设计规范》</w:t>
      </w:r>
      <w:r>
        <w:rPr>
          <w:rFonts w:ascii="宋体" w:hAnsi="宋体" w:cs="宋体"/>
          <w:color w:val="auto"/>
          <w:sz w:val="28"/>
          <w:szCs w:val="28"/>
          <w:highlight w:val="none"/>
          <w:lang w:val="zh-CN"/>
        </w:rPr>
        <w:t>GB50151</w:t>
      </w:r>
      <w:r>
        <w:rPr>
          <w:rFonts w:ascii="宋体" w:cs="宋体"/>
          <w:color w:val="auto"/>
          <w:sz w:val="28"/>
          <w:szCs w:val="28"/>
          <w:highlight w:val="none"/>
        </w:rPr>
        <w:t>-</w:t>
      </w:r>
      <w:r>
        <w:rPr>
          <w:rFonts w:ascii="宋体" w:hAnsi="宋体" w:cs="宋体"/>
          <w:color w:val="auto"/>
          <w:sz w:val="28"/>
          <w:szCs w:val="28"/>
          <w:highlight w:val="none"/>
          <w:lang w:val="zh-CN"/>
        </w:rPr>
        <w:t xml:space="preserve">2021 </w:t>
      </w:r>
    </w:p>
    <w:p>
      <w:pPr>
        <w:pStyle w:val="33"/>
        <w:spacing w:line="560" w:lineRule="exact"/>
        <w:ind w:firstLine="31680"/>
        <w:outlineLvl w:val="1"/>
        <w:rPr>
          <w:rFonts w:ascii="宋体" w:cs="宋体"/>
          <w:color w:val="auto"/>
          <w:sz w:val="28"/>
          <w:szCs w:val="28"/>
          <w:highlight w:val="none"/>
          <w:lang w:val="zh-CN"/>
        </w:rPr>
      </w:pPr>
      <w:bookmarkStart w:id="801" w:name="_Toc3724"/>
      <w:bookmarkStart w:id="802" w:name="_Toc29591"/>
      <w:r>
        <w:rPr>
          <w:rFonts w:ascii="宋体" w:hAnsi="宋体" w:cs="宋体"/>
          <w:color w:val="auto"/>
          <w:sz w:val="28"/>
          <w:szCs w:val="28"/>
          <w:highlight w:val="none"/>
          <w:lang w:val="zh-CN"/>
        </w:rPr>
        <w:t xml:space="preserve">10.3 </w:t>
      </w:r>
      <w:bookmarkEnd w:id="777"/>
      <w:bookmarkEnd w:id="778"/>
      <w:r>
        <w:rPr>
          <w:rFonts w:hint="eastAsia" w:ascii="宋体" w:hAnsi="宋体" w:cs="宋体"/>
          <w:color w:val="auto"/>
          <w:sz w:val="28"/>
          <w:szCs w:val="28"/>
          <w:highlight w:val="none"/>
          <w:lang w:val="zh-CN"/>
        </w:rPr>
        <w:t>工程的</w:t>
      </w:r>
      <w:bookmarkEnd w:id="779"/>
      <w:bookmarkEnd w:id="780"/>
      <w:r>
        <w:rPr>
          <w:rFonts w:hint="eastAsia" w:ascii="宋体" w:hAnsi="宋体" w:cs="宋体"/>
          <w:color w:val="auto"/>
          <w:sz w:val="28"/>
          <w:szCs w:val="28"/>
          <w:highlight w:val="none"/>
          <w:lang w:val="zh-CN"/>
        </w:rPr>
        <w:t>火灾危险性类别</w:t>
      </w:r>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p>
    <w:p>
      <w:pPr>
        <w:pStyle w:val="33"/>
        <w:spacing w:line="560" w:lineRule="exact"/>
        <w:ind w:firstLine="31680"/>
        <w:rPr>
          <w:rFonts w:ascii="宋体" w:cs="宋体"/>
          <w:color w:val="auto"/>
          <w:sz w:val="28"/>
          <w:szCs w:val="28"/>
          <w:highlight w:val="none"/>
        </w:rPr>
      </w:pPr>
      <w:bookmarkStart w:id="803" w:name="_Toc23401"/>
      <w:bookmarkStart w:id="804" w:name="_Toc32639"/>
      <w:bookmarkStart w:id="805" w:name="_Toc26851"/>
      <w:bookmarkStart w:id="806" w:name="_Toc30095"/>
      <w:bookmarkStart w:id="807" w:name="_Toc21425"/>
      <w:bookmarkStart w:id="808" w:name="_Toc29745"/>
      <w:bookmarkStart w:id="809" w:name="_Toc13507"/>
      <w:bookmarkStart w:id="810" w:name="_Toc15691"/>
      <w:bookmarkStart w:id="811" w:name="_Toc2026"/>
      <w:bookmarkStart w:id="812" w:name="_Toc26913"/>
      <w:bookmarkStart w:id="813" w:name="_Toc9172"/>
      <w:bookmarkStart w:id="814" w:name="_Toc4116"/>
      <w:bookmarkStart w:id="815" w:name="_Toc30002"/>
      <w:bookmarkStart w:id="816" w:name="_Toc31882"/>
      <w:bookmarkStart w:id="817" w:name="_Toc29540"/>
      <w:bookmarkStart w:id="818" w:name="_Toc15632"/>
      <w:bookmarkStart w:id="819" w:name="_Toc30611"/>
      <w:bookmarkStart w:id="820" w:name="_Toc27258"/>
      <w:bookmarkStart w:id="821" w:name="_Toc22934"/>
      <w:bookmarkStart w:id="822" w:name="_Toc12926"/>
      <w:bookmarkStart w:id="823" w:name="OLE_LINK12"/>
      <w:bookmarkStart w:id="824" w:name="_Toc243131998"/>
      <w:bookmarkStart w:id="825" w:name="_Toc358793971"/>
      <w:bookmarkStart w:id="826" w:name="_Toc330912001"/>
      <w:r>
        <w:rPr>
          <w:rFonts w:hint="eastAsia" w:ascii="宋体" w:hAnsi="宋体" w:cs="宋体"/>
          <w:color w:val="auto"/>
          <w:sz w:val="28"/>
          <w:szCs w:val="28"/>
          <w:highlight w:val="none"/>
        </w:rPr>
        <w:t>本项目生产过程中具有火灾爆炸危险的主要物质是氯气，其生产装置火灾危险性分类为乙类。其主要特性：</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氯气，化学式为</w:t>
      </w:r>
      <w:r>
        <w:rPr>
          <w:rFonts w:ascii="宋体" w:hAnsi="宋体" w:cs="宋体"/>
          <w:color w:val="auto"/>
          <w:sz w:val="28"/>
          <w:szCs w:val="28"/>
          <w:highlight w:val="none"/>
          <w:lang w:val="zh-CN"/>
        </w:rPr>
        <w:t>Cl</w:t>
      </w:r>
      <w:r>
        <w:rPr>
          <w:rFonts w:ascii="Times New Roman" w:hAnsi="Times New Roman"/>
          <w:color w:val="auto"/>
          <w:sz w:val="28"/>
          <w:szCs w:val="28"/>
          <w:highlight w:val="none"/>
          <w:lang w:val="zh-CN"/>
        </w:rPr>
        <w:t>₂</w:t>
      </w:r>
      <w:r>
        <w:rPr>
          <w:rFonts w:hint="eastAsia" w:ascii="宋体" w:hAnsi="宋体" w:cs="宋体"/>
          <w:color w:val="auto"/>
          <w:sz w:val="28"/>
          <w:szCs w:val="28"/>
          <w:highlight w:val="none"/>
          <w:lang w:val="zh-CN"/>
        </w:rPr>
        <w:t>。常温常压下为黄绿色，有强烈刺激性气味的有毒气体，密度比空气大，可溶于水，易压缩</w:t>
      </w:r>
      <w:r>
        <w:rPr>
          <w:rFonts w:ascii="宋体" w:cs="宋体"/>
          <w:color w:val="auto"/>
          <w:sz w:val="28"/>
          <w:szCs w:val="28"/>
          <w:highlight w:val="none"/>
          <w:lang w:val="zh-CN"/>
        </w:rPr>
        <w:t>,</w:t>
      </w:r>
      <w:r>
        <w:rPr>
          <w:rFonts w:hint="eastAsia" w:ascii="宋体" w:hAnsi="宋体" w:cs="宋体"/>
          <w:color w:val="auto"/>
          <w:sz w:val="28"/>
          <w:szCs w:val="28"/>
          <w:highlight w:val="none"/>
          <w:lang w:val="zh-CN"/>
        </w:rPr>
        <w:t>可液化为金黄色液态氯，是</w:t>
      </w:r>
      <w:r>
        <w:rPr>
          <w:color w:val="auto"/>
          <w:highlight w:val="none"/>
        </w:rPr>
        <w:fldChar w:fldCharType="begin"/>
      </w:r>
      <w:r>
        <w:rPr>
          <w:color w:val="auto"/>
          <w:highlight w:val="none"/>
        </w:rPr>
        <w:instrText xml:space="preserve"> HYPERLINK "https://baike.so.com/doc/5951982-6164923.html" \t "https://baike.so.com/doc/_blank" </w:instrText>
      </w:r>
      <w:r>
        <w:rPr>
          <w:color w:val="auto"/>
          <w:highlight w:val="none"/>
        </w:rPr>
        <w:fldChar w:fldCharType="separate"/>
      </w:r>
      <w:r>
        <w:rPr>
          <w:rFonts w:hint="eastAsia" w:ascii="宋体" w:hAnsi="宋体" w:cs="宋体"/>
          <w:color w:val="auto"/>
          <w:sz w:val="28"/>
          <w:szCs w:val="28"/>
          <w:highlight w:val="none"/>
          <w:lang w:val="zh-CN"/>
        </w:rPr>
        <w:t>氯碱工业</w:t>
      </w:r>
      <w:r>
        <w:rPr>
          <w:rFonts w:hint="eastAsia" w:ascii="宋体" w:hAnsi="宋体" w:cs="宋体"/>
          <w:color w:val="auto"/>
          <w:sz w:val="28"/>
          <w:szCs w:val="28"/>
          <w:highlight w:val="none"/>
          <w:lang w:val="zh-CN"/>
        </w:rPr>
        <w:fldChar w:fldCharType="end"/>
      </w:r>
      <w:r>
        <w:rPr>
          <w:rFonts w:hint="eastAsia" w:ascii="宋体" w:hAnsi="宋体" w:cs="宋体"/>
          <w:color w:val="auto"/>
          <w:sz w:val="28"/>
          <w:szCs w:val="28"/>
          <w:highlight w:val="none"/>
          <w:lang w:val="zh-CN"/>
        </w:rPr>
        <w:t>的主要产品之一，可用作为</w:t>
      </w:r>
      <w:r>
        <w:rPr>
          <w:color w:val="auto"/>
          <w:highlight w:val="none"/>
        </w:rPr>
        <w:fldChar w:fldCharType="begin"/>
      </w:r>
      <w:r>
        <w:rPr>
          <w:color w:val="auto"/>
          <w:highlight w:val="none"/>
        </w:rPr>
        <w:instrText xml:space="preserve"> HYPERLINK "https://baike.so.com/doc/6298092-6511615.html" \t "https://baike.so.com/doc/_blank" </w:instrText>
      </w:r>
      <w:r>
        <w:rPr>
          <w:color w:val="auto"/>
          <w:highlight w:val="none"/>
        </w:rPr>
        <w:fldChar w:fldCharType="separate"/>
      </w:r>
      <w:r>
        <w:rPr>
          <w:rFonts w:hint="eastAsia" w:ascii="宋体" w:hAnsi="宋体" w:cs="宋体"/>
          <w:color w:val="auto"/>
          <w:sz w:val="28"/>
          <w:szCs w:val="28"/>
          <w:highlight w:val="none"/>
          <w:lang w:val="zh-CN"/>
        </w:rPr>
        <w:t>强氧化剂</w:t>
      </w:r>
      <w:r>
        <w:rPr>
          <w:rFonts w:hint="eastAsia" w:ascii="宋体" w:hAnsi="宋体" w:cs="宋体"/>
          <w:color w:val="auto"/>
          <w:sz w:val="28"/>
          <w:szCs w:val="28"/>
          <w:highlight w:val="none"/>
          <w:lang w:val="zh-CN"/>
        </w:rPr>
        <w:fldChar w:fldCharType="end"/>
      </w:r>
      <w:r>
        <w:rPr>
          <w:rFonts w:hint="eastAsia" w:ascii="宋体" w:hAnsi="宋体" w:cs="宋体"/>
          <w:color w:val="auto"/>
          <w:sz w:val="28"/>
          <w:szCs w:val="28"/>
          <w:highlight w:val="none"/>
          <w:lang w:val="zh-CN"/>
        </w:rPr>
        <w:t>。氯气中混和体积分数为</w:t>
      </w:r>
      <w:r>
        <w:rPr>
          <w:rFonts w:ascii="宋体" w:hAnsi="宋体" w:cs="宋体"/>
          <w:color w:val="auto"/>
          <w:sz w:val="28"/>
          <w:szCs w:val="28"/>
          <w:highlight w:val="none"/>
          <w:lang w:val="zh-CN"/>
        </w:rPr>
        <w:t>5%</w:t>
      </w:r>
      <w:r>
        <w:rPr>
          <w:rFonts w:hint="eastAsia" w:ascii="宋体" w:hAnsi="宋体" w:cs="宋体"/>
          <w:color w:val="auto"/>
          <w:sz w:val="28"/>
          <w:szCs w:val="28"/>
          <w:highlight w:val="none"/>
          <w:lang w:val="zh-CN"/>
        </w:rPr>
        <w:t>以上的</w:t>
      </w:r>
      <w:r>
        <w:rPr>
          <w:color w:val="auto"/>
          <w:highlight w:val="none"/>
        </w:rPr>
        <w:fldChar w:fldCharType="begin"/>
      </w:r>
      <w:r>
        <w:rPr>
          <w:color w:val="auto"/>
          <w:highlight w:val="none"/>
        </w:rPr>
        <w:instrText xml:space="preserve"> HYPERLINK "https://baike.so.com/doc/4993488-5217468.html" \t "https://baike.so.com/doc/_blank" </w:instrText>
      </w:r>
      <w:r>
        <w:rPr>
          <w:color w:val="auto"/>
          <w:highlight w:val="none"/>
        </w:rPr>
        <w:fldChar w:fldCharType="separate"/>
      </w:r>
      <w:r>
        <w:rPr>
          <w:rFonts w:hint="eastAsia" w:ascii="宋体" w:hAnsi="宋体" w:cs="宋体"/>
          <w:color w:val="auto"/>
          <w:sz w:val="28"/>
          <w:szCs w:val="28"/>
          <w:highlight w:val="none"/>
          <w:lang w:val="zh-CN"/>
        </w:rPr>
        <w:t>氢气</w:t>
      </w:r>
      <w:r>
        <w:rPr>
          <w:rFonts w:hint="eastAsia" w:ascii="宋体" w:hAnsi="宋体" w:cs="宋体"/>
          <w:color w:val="auto"/>
          <w:sz w:val="28"/>
          <w:szCs w:val="28"/>
          <w:highlight w:val="none"/>
          <w:lang w:val="zh-CN"/>
        </w:rPr>
        <w:fldChar w:fldCharType="end"/>
      </w:r>
      <w:r>
        <w:rPr>
          <w:rFonts w:hint="eastAsia" w:ascii="宋体" w:hAnsi="宋体" w:cs="宋体"/>
          <w:color w:val="auto"/>
          <w:sz w:val="28"/>
          <w:szCs w:val="28"/>
          <w:highlight w:val="none"/>
          <w:lang w:val="zh-CN"/>
        </w:rPr>
        <w:t>时遇强光可能会有</w:t>
      </w:r>
      <w:r>
        <w:rPr>
          <w:color w:val="auto"/>
          <w:highlight w:val="none"/>
        </w:rPr>
        <w:fldChar w:fldCharType="begin"/>
      </w:r>
      <w:r>
        <w:rPr>
          <w:color w:val="auto"/>
          <w:highlight w:val="none"/>
        </w:rPr>
        <w:instrText xml:space="preserve"> HYPERLINK "https://baike.so.com/doc/1417365-1498298.html" \t "https://baike.so.com/doc/_blank" </w:instrText>
      </w:r>
      <w:r>
        <w:rPr>
          <w:color w:val="auto"/>
          <w:highlight w:val="none"/>
        </w:rPr>
        <w:fldChar w:fldCharType="separate"/>
      </w:r>
      <w:r>
        <w:rPr>
          <w:rFonts w:hint="eastAsia" w:ascii="宋体" w:hAnsi="宋体" w:cs="宋体"/>
          <w:color w:val="auto"/>
          <w:sz w:val="28"/>
          <w:szCs w:val="28"/>
          <w:highlight w:val="none"/>
          <w:lang w:val="zh-CN"/>
        </w:rPr>
        <w:t>爆炸</w:t>
      </w:r>
      <w:r>
        <w:rPr>
          <w:rFonts w:hint="eastAsia" w:ascii="宋体" w:hAnsi="宋体" w:cs="宋体"/>
          <w:color w:val="auto"/>
          <w:sz w:val="28"/>
          <w:szCs w:val="28"/>
          <w:highlight w:val="none"/>
          <w:lang w:val="zh-CN"/>
        </w:rPr>
        <w:fldChar w:fldCharType="end"/>
      </w:r>
      <w:r>
        <w:rPr>
          <w:rFonts w:hint="eastAsia" w:ascii="宋体" w:hAnsi="宋体" w:cs="宋体"/>
          <w:color w:val="auto"/>
          <w:sz w:val="28"/>
          <w:szCs w:val="28"/>
          <w:highlight w:val="none"/>
          <w:lang w:val="zh-CN"/>
        </w:rPr>
        <w:t>的危险。氯气能与有机物和</w:t>
      </w:r>
      <w:r>
        <w:rPr>
          <w:color w:val="auto"/>
          <w:highlight w:val="none"/>
        </w:rPr>
        <w:fldChar w:fldCharType="begin"/>
      </w:r>
      <w:r>
        <w:rPr>
          <w:color w:val="auto"/>
          <w:highlight w:val="none"/>
        </w:rPr>
        <w:instrText xml:space="preserve"> HYPERLINK "https://baike.so.com/doc/4688054-4901976.html" \t "https://baike.so.com/doc/_blank" </w:instrText>
      </w:r>
      <w:r>
        <w:rPr>
          <w:color w:val="auto"/>
          <w:highlight w:val="none"/>
        </w:rPr>
        <w:fldChar w:fldCharType="separate"/>
      </w:r>
      <w:r>
        <w:rPr>
          <w:rFonts w:hint="eastAsia" w:ascii="宋体" w:hAnsi="宋体" w:cs="宋体"/>
          <w:color w:val="auto"/>
          <w:sz w:val="28"/>
          <w:szCs w:val="28"/>
          <w:highlight w:val="none"/>
          <w:lang w:val="zh-CN"/>
        </w:rPr>
        <w:t>无机物</w:t>
      </w:r>
      <w:r>
        <w:rPr>
          <w:rFonts w:hint="eastAsia" w:ascii="宋体" w:hAnsi="宋体" w:cs="宋体"/>
          <w:color w:val="auto"/>
          <w:sz w:val="28"/>
          <w:szCs w:val="28"/>
          <w:highlight w:val="none"/>
          <w:lang w:val="zh-CN"/>
        </w:rPr>
        <w:fldChar w:fldCharType="end"/>
      </w:r>
      <w:r>
        <w:rPr>
          <w:rFonts w:hint="eastAsia" w:ascii="宋体" w:hAnsi="宋体" w:cs="宋体"/>
          <w:color w:val="auto"/>
          <w:sz w:val="28"/>
          <w:szCs w:val="28"/>
          <w:highlight w:val="none"/>
          <w:lang w:val="zh-CN"/>
        </w:rPr>
        <w:t>进行</w:t>
      </w:r>
      <w:r>
        <w:rPr>
          <w:color w:val="auto"/>
          <w:highlight w:val="none"/>
        </w:rPr>
        <w:fldChar w:fldCharType="begin"/>
      </w:r>
      <w:r>
        <w:rPr>
          <w:color w:val="auto"/>
          <w:highlight w:val="none"/>
        </w:rPr>
        <w:instrText xml:space="preserve"> HYPERLINK "https://baike.so.com/doc/5405436-5643210.html" \t "https://baike.so.com/doc/_blank" </w:instrText>
      </w:r>
      <w:r>
        <w:rPr>
          <w:color w:val="auto"/>
          <w:highlight w:val="none"/>
        </w:rPr>
        <w:fldChar w:fldCharType="separate"/>
      </w:r>
      <w:r>
        <w:rPr>
          <w:rFonts w:hint="eastAsia" w:ascii="宋体" w:hAnsi="宋体" w:cs="宋体"/>
          <w:color w:val="auto"/>
          <w:sz w:val="28"/>
          <w:szCs w:val="28"/>
          <w:highlight w:val="none"/>
          <w:lang w:val="zh-CN"/>
        </w:rPr>
        <w:t>取代反应</w:t>
      </w:r>
      <w:r>
        <w:rPr>
          <w:rFonts w:hint="eastAsia" w:ascii="宋体" w:hAnsi="宋体" w:cs="宋体"/>
          <w:color w:val="auto"/>
          <w:sz w:val="28"/>
          <w:szCs w:val="28"/>
          <w:highlight w:val="none"/>
          <w:lang w:val="zh-CN"/>
        </w:rPr>
        <w:fldChar w:fldCharType="end"/>
      </w:r>
      <w:r>
        <w:rPr>
          <w:rFonts w:hint="eastAsia" w:ascii="宋体" w:hAnsi="宋体" w:cs="宋体"/>
          <w:color w:val="auto"/>
          <w:sz w:val="28"/>
          <w:szCs w:val="28"/>
          <w:highlight w:val="none"/>
          <w:lang w:val="zh-CN"/>
        </w:rPr>
        <w:t>和</w:t>
      </w:r>
      <w:r>
        <w:rPr>
          <w:color w:val="auto"/>
          <w:highlight w:val="none"/>
        </w:rPr>
        <w:fldChar w:fldCharType="begin"/>
      </w:r>
      <w:r>
        <w:rPr>
          <w:color w:val="auto"/>
          <w:highlight w:val="none"/>
        </w:rPr>
        <w:instrText xml:space="preserve"> HYPERLINK "https://baike.so.com/doc/993147-1049871.html" \t "https://baike.so.com/doc/_blank" </w:instrText>
      </w:r>
      <w:r>
        <w:rPr>
          <w:color w:val="auto"/>
          <w:highlight w:val="none"/>
        </w:rPr>
        <w:fldChar w:fldCharType="separate"/>
      </w:r>
      <w:r>
        <w:rPr>
          <w:rFonts w:hint="eastAsia" w:ascii="宋体" w:hAnsi="宋体" w:cs="宋体"/>
          <w:color w:val="auto"/>
          <w:sz w:val="28"/>
          <w:szCs w:val="28"/>
          <w:highlight w:val="none"/>
          <w:lang w:val="zh-CN"/>
        </w:rPr>
        <w:t>加成反应</w:t>
      </w:r>
      <w:r>
        <w:rPr>
          <w:rFonts w:hint="eastAsia" w:ascii="宋体" w:hAnsi="宋体" w:cs="宋体"/>
          <w:color w:val="auto"/>
          <w:sz w:val="28"/>
          <w:szCs w:val="28"/>
          <w:highlight w:val="none"/>
          <w:lang w:val="zh-CN"/>
        </w:rPr>
        <w:fldChar w:fldCharType="end"/>
      </w:r>
      <w:r>
        <w:rPr>
          <w:rFonts w:hint="eastAsia" w:ascii="宋体" w:hAnsi="宋体" w:cs="宋体"/>
          <w:color w:val="auto"/>
          <w:sz w:val="28"/>
          <w:szCs w:val="28"/>
          <w:highlight w:val="none"/>
          <w:lang w:val="zh-CN"/>
        </w:rPr>
        <w:t>生成多种</w:t>
      </w:r>
      <w:r>
        <w:rPr>
          <w:color w:val="auto"/>
          <w:highlight w:val="none"/>
        </w:rPr>
        <w:fldChar w:fldCharType="begin"/>
      </w:r>
      <w:r>
        <w:rPr>
          <w:color w:val="auto"/>
          <w:highlight w:val="none"/>
        </w:rPr>
        <w:instrText xml:space="preserve"> HYPERLINK "https://baike.so.com/doc/605909-641483.html" \t "https://baike.so.com/doc/_blank" </w:instrText>
      </w:r>
      <w:r>
        <w:rPr>
          <w:color w:val="auto"/>
          <w:highlight w:val="none"/>
        </w:rPr>
        <w:fldChar w:fldCharType="separate"/>
      </w:r>
      <w:r>
        <w:rPr>
          <w:rFonts w:hint="eastAsia" w:ascii="宋体" w:hAnsi="宋体" w:cs="宋体"/>
          <w:color w:val="auto"/>
          <w:sz w:val="28"/>
          <w:szCs w:val="28"/>
          <w:highlight w:val="none"/>
          <w:lang w:val="zh-CN"/>
        </w:rPr>
        <w:t>氯化物</w:t>
      </w:r>
      <w:r>
        <w:rPr>
          <w:rFonts w:hint="eastAsia" w:ascii="宋体" w:hAnsi="宋体" w:cs="宋体"/>
          <w:color w:val="auto"/>
          <w:sz w:val="28"/>
          <w:szCs w:val="28"/>
          <w:highlight w:val="none"/>
          <w:lang w:val="zh-CN"/>
        </w:rPr>
        <w:fldChar w:fldCharType="end"/>
      </w:r>
      <w:r>
        <w:rPr>
          <w:rFonts w:hint="eastAsia" w:ascii="宋体" w:hAnsi="宋体" w:cs="宋体"/>
          <w:color w:val="auto"/>
          <w:sz w:val="28"/>
          <w:szCs w:val="28"/>
          <w:highlight w:val="none"/>
          <w:lang w:val="zh-CN"/>
        </w:rPr>
        <w:t>。</w:t>
      </w:r>
    </w:p>
    <w:p>
      <w:pPr>
        <w:pStyle w:val="33"/>
        <w:spacing w:line="560" w:lineRule="exact"/>
        <w:ind w:firstLine="31680"/>
        <w:outlineLvl w:val="1"/>
        <w:rPr>
          <w:rFonts w:ascii="宋体" w:cs="宋体"/>
          <w:color w:val="auto"/>
          <w:sz w:val="28"/>
          <w:szCs w:val="28"/>
          <w:highlight w:val="none"/>
          <w:lang w:val="zh-CN"/>
        </w:rPr>
      </w:pPr>
      <w:bookmarkStart w:id="827" w:name="_Toc27503"/>
      <w:r>
        <w:rPr>
          <w:rFonts w:ascii="宋体" w:hAnsi="宋体" w:cs="宋体"/>
          <w:color w:val="auto"/>
          <w:sz w:val="28"/>
          <w:szCs w:val="28"/>
          <w:highlight w:val="none"/>
          <w:lang w:val="zh-CN"/>
        </w:rPr>
        <w:t xml:space="preserve">10.4 </w:t>
      </w:r>
      <w:r>
        <w:rPr>
          <w:rFonts w:hint="eastAsia" w:ascii="宋体" w:hAnsi="宋体" w:cs="宋体"/>
          <w:color w:val="auto"/>
          <w:sz w:val="28"/>
          <w:szCs w:val="28"/>
          <w:highlight w:val="none"/>
          <w:lang w:val="zh-CN"/>
        </w:rPr>
        <w:t>厂区消防现状</w:t>
      </w:r>
      <w:bookmarkEnd w:id="803"/>
      <w:bookmarkEnd w:id="804"/>
      <w:bookmarkEnd w:id="827"/>
    </w:p>
    <w:p>
      <w:pPr>
        <w:pStyle w:val="33"/>
        <w:spacing w:line="560" w:lineRule="exact"/>
        <w:ind w:firstLine="31680"/>
        <w:rPr>
          <w:rFonts w:ascii="宋体" w:cs="宋体"/>
          <w:color w:val="auto"/>
          <w:sz w:val="28"/>
          <w:szCs w:val="28"/>
          <w:highlight w:val="none"/>
        </w:rPr>
      </w:pPr>
      <w:bookmarkStart w:id="828" w:name="_Toc14503"/>
      <w:bookmarkStart w:id="829" w:name="_Toc12070"/>
      <w:r>
        <w:rPr>
          <w:rFonts w:hint="eastAsia" w:ascii="宋体" w:hAnsi="宋体" w:cs="宋体"/>
          <w:color w:val="auto"/>
          <w:sz w:val="28"/>
          <w:szCs w:val="28"/>
          <w:highlight w:val="none"/>
        </w:rPr>
        <w:t>（</w:t>
      </w:r>
      <w:r>
        <w:rPr>
          <w:rFonts w:ascii="宋体" w:hAnsi="宋体" w:cs="宋体"/>
          <w:color w:val="auto"/>
          <w:sz w:val="28"/>
          <w:szCs w:val="28"/>
          <w:highlight w:val="none"/>
        </w:rPr>
        <w:t>1</w:t>
      </w:r>
      <w:r>
        <w:rPr>
          <w:rFonts w:hint="eastAsia" w:ascii="宋体" w:hAnsi="宋体" w:cs="宋体"/>
          <w:color w:val="auto"/>
          <w:sz w:val="28"/>
          <w:szCs w:val="28"/>
          <w:highlight w:val="none"/>
        </w:rPr>
        <w:t>）公司设有专职消防队，配备专职消防队员</w:t>
      </w:r>
      <w:r>
        <w:rPr>
          <w:rFonts w:ascii="宋体" w:hAnsi="宋体" w:cs="宋体"/>
          <w:color w:val="auto"/>
          <w:sz w:val="28"/>
          <w:szCs w:val="28"/>
          <w:highlight w:val="none"/>
        </w:rPr>
        <w:t>13</w:t>
      </w:r>
      <w:r>
        <w:rPr>
          <w:rFonts w:hint="eastAsia" w:ascii="宋体" w:hAnsi="宋体" w:cs="宋体"/>
          <w:color w:val="auto"/>
          <w:sz w:val="28"/>
          <w:szCs w:val="28"/>
          <w:highlight w:val="none"/>
        </w:rPr>
        <w:t>人，配备</w:t>
      </w:r>
      <w:r>
        <w:rPr>
          <w:rFonts w:ascii="宋体" w:hAnsi="宋体" w:cs="宋体"/>
          <w:color w:val="auto"/>
          <w:sz w:val="28"/>
          <w:szCs w:val="28"/>
          <w:highlight w:val="none"/>
        </w:rPr>
        <w:t>1</w:t>
      </w:r>
      <w:r>
        <w:rPr>
          <w:rFonts w:hint="eastAsia" w:ascii="宋体" w:hAnsi="宋体" w:cs="宋体"/>
          <w:color w:val="auto"/>
          <w:sz w:val="28"/>
          <w:szCs w:val="28"/>
          <w:highlight w:val="none"/>
        </w:rPr>
        <w:t>台</w:t>
      </w:r>
      <w:r>
        <w:rPr>
          <w:rFonts w:ascii="宋体" w:hAnsi="宋体" w:cs="宋体"/>
          <w:color w:val="auto"/>
          <w:sz w:val="28"/>
          <w:szCs w:val="28"/>
          <w:highlight w:val="none"/>
        </w:rPr>
        <w:t>8</w:t>
      </w:r>
      <w:r>
        <w:rPr>
          <w:rFonts w:hint="eastAsia" w:ascii="宋体" w:hAnsi="宋体" w:cs="宋体"/>
          <w:color w:val="auto"/>
          <w:sz w:val="28"/>
          <w:szCs w:val="28"/>
          <w:highlight w:val="none"/>
        </w:rPr>
        <w:t>吨泡沫水罐消防车、</w:t>
      </w:r>
      <w:r>
        <w:rPr>
          <w:rFonts w:ascii="宋体" w:hAnsi="宋体" w:cs="宋体"/>
          <w:color w:val="auto"/>
          <w:sz w:val="28"/>
          <w:szCs w:val="28"/>
          <w:highlight w:val="none"/>
        </w:rPr>
        <w:t>1</w:t>
      </w:r>
      <w:r>
        <w:rPr>
          <w:rFonts w:hint="eastAsia" w:ascii="宋体" w:hAnsi="宋体" w:cs="宋体"/>
          <w:color w:val="auto"/>
          <w:sz w:val="28"/>
          <w:szCs w:val="28"/>
          <w:highlight w:val="none"/>
        </w:rPr>
        <w:t>台气体防护车。</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2</w:t>
      </w:r>
      <w:r>
        <w:rPr>
          <w:rFonts w:hint="eastAsia" w:ascii="宋体" w:hAnsi="宋体" w:cs="宋体"/>
          <w:color w:val="auto"/>
          <w:sz w:val="28"/>
          <w:szCs w:val="28"/>
          <w:highlight w:val="none"/>
        </w:rPr>
        <w:t>）厂区周围消防环境。园区有镇江市消防大队，附近谏壁电厂、</w:t>
      </w:r>
      <w:r>
        <w:rPr>
          <w:rFonts w:ascii="宋体" w:hAnsi="宋体" w:cs="宋体"/>
          <w:color w:val="auto"/>
          <w:sz w:val="28"/>
          <w:szCs w:val="28"/>
          <w:highlight w:val="none"/>
        </w:rPr>
        <w:t>6904</w:t>
      </w:r>
      <w:r>
        <w:rPr>
          <w:rFonts w:hint="eastAsia" w:ascii="宋体" w:hAnsi="宋体" w:cs="宋体"/>
          <w:color w:val="auto"/>
          <w:sz w:val="28"/>
          <w:szCs w:val="28"/>
          <w:highlight w:val="none"/>
        </w:rPr>
        <w:t>油库和索普集团等单位均有专职消防队</w:t>
      </w:r>
      <w:r>
        <w:rPr>
          <w:rFonts w:ascii="宋体" w:cs="宋体"/>
          <w:color w:val="auto"/>
          <w:sz w:val="28"/>
          <w:szCs w:val="28"/>
          <w:highlight w:val="none"/>
        </w:rPr>
        <w:t>,</w:t>
      </w:r>
      <w:r>
        <w:rPr>
          <w:rFonts w:hint="eastAsia" w:ascii="宋体" w:hAnsi="宋体" w:cs="宋体"/>
          <w:color w:val="auto"/>
          <w:sz w:val="28"/>
          <w:szCs w:val="28"/>
          <w:highlight w:val="none"/>
        </w:rPr>
        <w:t>可联合形成消防网络。</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3</w:t>
      </w:r>
      <w:r>
        <w:rPr>
          <w:rFonts w:hint="eastAsia" w:ascii="宋体" w:hAnsi="宋体" w:cs="宋体"/>
          <w:color w:val="auto"/>
          <w:sz w:val="28"/>
          <w:szCs w:val="28"/>
          <w:highlight w:val="none"/>
        </w:rPr>
        <w:t>）厂区总图布置符合有关规范进行设计，保证安全距离。生产区和厂前区有绿化隔离带分割，各生产区四周有环形消防车道，宽度满足消防车通道要求。</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4</w:t>
      </w:r>
      <w:r>
        <w:rPr>
          <w:rFonts w:hint="eastAsia" w:ascii="宋体" w:hAnsi="宋体" w:cs="宋体"/>
          <w:color w:val="auto"/>
          <w:sz w:val="28"/>
          <w:szCs w:val="28"/>
          <w:highlight w:val="none"/>
        </w:rPr>
        <w:t>）江苏索普新材料科技有限公司现有消防管网来自园区管网，现有消防用水供水量、压力均满足规范要求，项目内设置有消防水池及消防泵房，可作为有效补充。</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5</w:t>
      </w:r>
      <w:r>
        <w:rPr>
          <w:rFonts w:hint="eastAsia" w:ascii="宋体" w:hAnsi="宋体" w:cs="宋体"/>
          <w:color w:val="auto"/>
          <w:sz w:val="28"/>
          <w:szCs w:val="28"/>
          <w:highlight w:val="none"/>
        </w:rPr>
        <w:t>）厂区消防给水管采用焊接钢管，形成环状管网，室外设</w:t>
      </w:r>
      <w:r>
        <w:rPr>
          <w:rFonts w:ascii="宋体" w:hAnsi="宋体" w:cs="宋体"/>
          <w:color w:val="auto"/>
          <w:sz w:val="28"/>
          <w:szCs w:val="28"/>
          <w:highlight w:val="none"/>
        </w:rPr>
        <w:t>SS100-1.6</w:t>
      </w:r>
      <w:r>
        <w:rPr>
          <w:rFonts w:hint="eastAsia" w:ascii="宋体" w:hAnsi="宋体" w:cs="宋体"/>
          <w:color w:val="auto"/>
          <w:sz w:val="28"/>
          <w:szCs w:val="28"/>
          <w:highlight w:val="none"/>
        </w:rPr>
        <w:t>型地上式消火栓，厂内道路按</w:t>
      </w:r>
      <w:r>
        <w:rPr>
          <w:rFonts w:ascii="宋体" w:hAnsi="宋体" w:cs="宋体"/>
          <w:color w:val="auto"/>
          <w:sz w:val="28"/>
          <w:szCs w:val="28"/>
          <w:highlight w:val="none"/>
        </w:rPr>
        <w:t>100-120</w:t>
      </w:r>
      <w:r>
        <w:rPr>
          <w:rFonts w:hint="eastAsia" w:ascii="宋体" w:hAnsi="宋体" w:cs="宋体"/>
          <w:color w:val="auto"/>
          <w:sz w:val="28"/>
          <w:szCs w:val="28"/>
          <w:highlight w:val="none"/>
        </w:rPr>
        <w:t>米设置消防栓。</w:t>
      </w:r>
    </w:p>
    <w:p>
      <w:pPr>
        <w:pStyle w:val="33"/>
        <w:spacing w:line="560" w:lineRule="exact"/>
        <w:ind w:firstLine="31680"/>
        <w:outlineLvl w:val="1"/>
        <w:rPr>
          <w:rFonts w:ascii="宋体" w:cs="宋体"/>
          <w:color w:val="auto"/>
          <w:sz w:val="28"/>
          <w:szCs w:val="28"/>
          <w:highlight w:val="none"/>
          <w:lang w:val="zh-CN"/>
        </w:rPr>
      </w:pPr>
      <w:bookmarkStart w:id="830" w:name="_Toc26964"/>
      <w:r>
        <w:rPr>
          <w:rFonts w:ascii="宋体" w:hAnsi="宋体" w:cs="宋体"/>
          <w:color w:val="auto"/>
          <w:sz w:val="28"/>
          <w:szCs w:val="28"/>
          <w:highlight w:val="none"/>
          <w:lang w:val="zh-CN"/>
        </w:rPr>
        <w:t>10.5</w:t>
      </w:r>
      <w:r>
        <w:rPr>
          <w:rFonts w:hint="eastAsia" w:ascii="宋体" w:hAnsi="宋体" w:cs="宋体"/>
          <w:color w:val="auto"/>
          <w:sz w:val="28"/>
          <w:szCs w:val="28"/>
          <w:highlight w:val="none"/>
          <w:lang w:val="zh-CN"/>
        </w:rPr>
        <w:t>采用的防火措施及配置的消防系统</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8"/>
      <w:bookmarkEnd w:id="829"/>
      <w:bookmarkEnd w:id="830"/>
    </w:p>
    <w:p>
      <w:pPr>
        <w:pStyle w:val="33"/>
        <w:spacing w:line="560" w:lineRule="exact"/>
        <w:ind w:firstLine="31680"/>
        <w:rPr>
          <w:rFonts w:ascii="宋体" w:cs="宋体"/>
          <w:color w:val="auto"/>
          <w:sz w:val="28"/>
          <w:szCs w:val="28"/>
          <w:highlight w:val="none"/>
          <w:lang w:val="zh-CN"/>
        </w:rPr>
      </w:pPr>
      <w:bookmarkStart w:id="831" w:name="_Toc17209"/>
      <w:bookmarkStart w:id="832" w:name="_Toc16881"/>
      <w:bookmarkStart w:id="833" w:name="_Toc18192"/>
      <w:bookmarkStart w:id="834" w:name="_Toc21884"/>
      <w:bookmarkStart w:id="835" w:name="_Toc19095"/>
      <w:bookmarkStart w:id="836" w:name="_Toc20331"/>
      <w:bookmarkStart w:id="837" w:name="_Toc9370"/>
      <w:bookmarkStart w:id="838" w:name="_Toc1989"/>
      <w:bookmarkStart w:id="839" w:name="_Toc2128"/>
      <w:bookmarkStart w:id="840" w:name="_Toc2688"/>
      <w:bookmarkStart w:id="841" w:name="_Toc26556"/>
      <w:bookmarkStart w:id="842" w:name="_Toc19303"/>
      <w:bookmarkStart w:id="843" w:name="_Toc14775"/>
      <w:bookmarkStart w:id="844" w:name="_Toc9549"/>
      <w:r>
        <w:rPr>
          <w:rFonts w:ascii="宋体" w:hAnsi="宋体" w:cs="宋体"/>
          <w:color w:val="auto"/>
          <w:sz w:val="28"/>
          <w:szCs w:val="28"/>
          <w:highlight w:val="none"/>
          <w:lang w:val="zh-CN"/>
        </w:rPr>
        <w:t>10.5.1</w:t>
      </w:r>
      <w:bookmarkEnd w:id="831"/>
      <w:bookmarkEnd w:id="832"/>
      <w:bookmarkEnd w:id="833"/>
      <w:bookmarkEnd w:id="834"/>
      <w:bookmarkEnd w:id="835"/>
      <w:bookmarkEnd w:id="836"/>
      <w:bookmarkEnd w:id="837"/>
      <w:bookmarkEnd w:id="838"/>
      <w:bookmarkEnd w:id="839"/>
      <w:bookmarkEnd w:id="840"/>
      <w:bookmarkEnd w:id="841"/>
      <w:bookmarkEnd w:id="842"/>
      <w:bookmarkEnd w:id="843"/>
      <w:r>
        <w:rPr>
          <w:rFonts w:hint="eastAsia" w:ascii="宋体" w:hAnsi="宋体" w:cs="宋体"/>
          <w:color w:val="auto"/>
          <w:sz w:val="28"/>
          <w:szCs w:val="28"/>
          <w:highlight w:val="none"/>
          <w:lang w:val="zh-CN"/>
        </w:rPr>
        <w:t>总图</w:t>
      </w:r>
      <w:bookmarkEnd w:id="844"/>
    </w:p>
    <w:p>
      <w:pPr>
        <w:pStyle w:val="33"/>
        <w:spacing w:line="560" w:lineRule="exact"/>
        <w:ind w:firstLine="31680"/>
        <w:rPr>
          <w:rFonts w:ascii="宋体" w:cs="宋体"/>
          <w:color w:val="auto"/>
          <w:sz w:val="28"/>
          <w:szCs w:val="28"/>
          <w:highlight w:val="none"/>
          <w:lang w:val="zh-CN"/>
        </w:rPr>
      </w:pPr>
      <w:bookmarkStart w:id="845" w:name="_Toc17538"/>
      <w:bookmarkStart w:id="846" w:name="_Toc2613"/>
      <w:r>
        <w:rPr>
          <w:rFonts w:hint="eastAsia" w:ascii="宋体" w:hAnsi="宋体" w:cs="宋体"/>
          <w:color w:val="auto"/>
          <w:sz w:val="28"/>
          <w:szCs w:val="28"/>
          <w:highlight w:val="none"/>
          <w:lang w:val="zh-CN"/>
        </w:rPr>
        <w:t>总图布置上，严格执行防火规范，各装置厂房间按规范留有足够的安全距离。装置区内道路环形布置，以保证消防通道的畅通无阻。</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在总图布置时，力求在满足现行有关设计、消防、安全等规范和法规的要求的前提下，做到工艺流程顺畅、管线布置短捷、运输线路畅通。</w:t>
      </w:r>
    </w:p>
    <w:bookmarkEnd w:id="823"/>
    <w:bookmarkEnd w:id="824"/>
    <w:bookmarkEnd w:id="825"/>
    <w:bookmarkEnd w:id="826"/>
    <w:bookmarkEnd w:id="845"/>
    <w:bookmarkEnd w:id="846"/>
    <w:p>
      <w:pPr>
        <w:pStyle w:val="33"/>
        <w:spacing w:line="560" w:lineRule="exact"/>
        <w:ind w:firstLine="31680"/>
        <w:rPr>
          <w:rFonts w:ascii="宋体" w:cs="宋体"/>
          <w:color w:val="auto"/>
          <w:sz w:val="28"/>
          <w:szCs w:val="28"/>
          <w:highlight w:val="none"/>
          <w:lang w:val="zh-CN"/>
        </w:rPr>
      </w:pPr>
      <w:bookmarkStart w:id="847" w:name="_Toc14657"/>
      <w:bookmarkStart w:id="848" w:name="_Toc358793972"/>
      <w:bookmarkStart w:id="849" w:name="_Toc29096"/>
      <w:bookmarkStart w:id="850" w:name="_Toc330912002"/>
      <w:bookmarkStart w:id="851" w:name="_Toc29195"/>
      <w:r>
        <w:rPr>
          <w:rFonts w:ascii="宋体" w:hAnsi="宋体" w:cs="宋体"/>
          <w:color w:val="auto"/>
          <w:sz w:val="28"/>
          <w:szCs w:val="28"/>
          <w:highlight w:val="none"/>
          <w:lang w:val="zh-CN"/>
        </w:rPr>
        <w:t>10.5.2</w:t>
      </w:r>
      <w:r>
        <w:rPr>
          <w:rFonts w:hint="eastAsia" w:ascii="宋体" w:hAnsi="宋体" w:cs="宋体"/>
          <w:color w:val="auto"/>
          <w:sz w:val="28"/>
          <w:szCs w:val="28"/>
          <w:highlight w:val="none"/>
          <w:lang w:val="zh-CN"/>
        </w:rPr>
        <w:t>建筑</w:t>
      </w:r>
      <w:bookmarkEnd w:id="847"/>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根据装置生产的火灾危险性分类的不同，按照《</w:t>
      </w:r>
      <w:r>
        <w:rPr>
          <w:rFonts w:hint="eastAsia" w:ascii="宋体" w:hAnsi="宋体" w:cs="宋体"/>
          <w:color w:val="auto"/>
          <w:sz w:val="28"/>
          <w:szCs w:val="28"/>
          <w:highlight w:val="none"/>
        </w:rPr>
        <w:t>石油化工企业设计防火标准（</w:t>
      </w:r>
      <w:r>
        <w:rPr>
          <w:rFonts w:ascii="宋体" w:hAnsi="宋体" w:cs="宋体"/>
          <w:color w:val="auto"/>
          <w:sz w:val="28"/>
          <w:szCs w:val="28"/>
          <w:highlight w:val="none"/>
        </w:rPr>
        <w:t>2018</w:t>
      </w:r>
      <w:r>
        <w:rPr>
          <w:rFonts w:hint="eastAsia" w:ascii="宋体" w:hAnsi="宋体" w:cs="宋体"/>
          <w:color w:val="auto"/>
          <w:sz w:val="28"/>
          <w:szCs w:val="28"/>
          <w:highlight w:val="none"/>
        </w:rPr>
        <w:t>年版）</w:t>
      </w:r>
      <w:r>
        <w:rPr>
          <w:rFonts w:hint="eastAsia" w:ascii="宋体" w:hAnsi="宋体" w:cs="宋体"/>
          <w:color w:val="auto"/>
          <w:sz w:val="28"/>
          <w:szCs w:val="28"/>
          <w:highlight w:val="none"/>
          <w:lang w:val="zh-CN"/>
        </w:rPr>
        <w:t>》（</w:t>
      </w:r>
      <w:r>
        <w:rPr>
          <w:rFonts w:ascii="宋体" w:hAnsi="宋体" w:cs="宋体"/>
          <w:color w:val="auto"/>
          <w:sz w:val="28"/>
          <w:szCs w:val="28"/>
          <w:highlight w:val="none"/>
        </w:rPr>
        <w:t>GB 50160-2008</w:t>
      </w:r>
      <w:r>
        <w:rPr>
          <w:rFonts w:hint="eastAsia" w:ascii="宋体" w:hAnsi="宋体" w:cs="宋体"/>
          <w:color w:val="auto"/>
          <w:sz w:val="28"/>
          <w:szCs w:val="28"/>
          <w:highlight w:val="none"/>
          <w:lang w:val="zh-CN"/>
        </w:rPr>
        <w:t>）和《建筑设计防火规范（</w:t>
      </w:r>
      <w:r>
        <w:rPr>
          <w:rFonts w:ascii="宋体" w:hAnsi="宋体" w:cs="宋体"/>
          <w:color w:val="auto"/>
          <w:sz w:val="28"/>
          <w:szCs w:val="28"/>
          <w:highlight w:val="none"/>
          <w:lang w:val="zh-CN"/>
        </w:rPr>
        <w:t>2018</w:t>
      </w:r>
      <w:r>
        <w:rPr>
          <w:rFonts w:hint="eastAsia" w:ascii="宋体" w:hAnsi="宋体" w:cs="宋体"/>
          <w:color w:val="auto"/>
          <w:sz w:val="28"/>
          <w:szCs w:val="28"/>
          <w:highlight w:val="none"/>
          <w:lang w:val="zh-CN"/>
        </w:rPr>
        <w:t>版）》（</w:t>
      </w:r>
      <w:r>
        <w:rPr>
          <w:rFonts w:ascii="宋体" w:hAnsi="宋体" w:cs="宋体"/>
          <w:color w:val="auto"/>
          <w:sz w:val="28"/>
          <w:szCs w:val="28"/>
          <w:highlight w:val="none"/>
          <w:lang w:val="zh-CN"/>
        </w:rPr>
        <w:t>GB50016-2014</w:t>
      </w:r>
      <w:r>
        <w:rPr>
          <w:rFonts w:hint="eastAsia" w:ascii="宋体" w:hAnsi="宋体" w:cs="宋体"/>
          <w:color w:val="auto"/>
          <w:sz w:val="28"/>
          <w:szCs w:val="28"/>
          <w:highlight w:val="none"/>
          <w:lang w:val="zh-CN"/>
        </w:rPr>
        <w:t>）的要求，进行建筑物的防火设计。装置建筑物耐火等级按二级设计。有火灾爆炸危险场所的建构筑物的结构形式采用钢筋混凝土柱或框架结构，并设置必要的泄压面积及防火地坪，选用材料符合防火防爆要求。</w:t>
      </w:r>
    </w:p>
    <w:p>
      <w:pPr>
        <w:pStyle w:val="33"/>
        <w:spacing w:line="560" w:lineRule="exact"/>
        <w:ind w:firstLine="31680"/>
        <w:rPr>
          <w:rFonts w:ascii="宋体" w:cs="宋体"/>
          <w:color w:val="auto"/>
          <w:sz w:val="28"/>
          <w:szCs w:val="28"/>
          <w:highlight w:val="none"/>
          <w:lang w:val="zh-CN"/>
        </w:rPr>
      </w:pPr>
      <w:bookmarkStart w:id="852" w:name="_Toc25844"/>
      <w:r>
        <w:rPr>
          <w:rFonts w:ascii="宋体" w:hAnsi="宋体" w:cs="宋体"/>
          <w:color w:val="auto"/>
          <w:sz w:val="28"/>
          <w:szCs w:val="28"/>
          <w:highlight w:val="none"/>
          <w:lang w:val="zh-CN"/>
        </w:rPr>
        <w:t xml:space="preserve">10.5.3 </w:t>
      </w:r>
      <w:r>
        <w:rPr>
          <w:rFonts w:hint="eastAsia" w:ascii="宋体" w:hAnsi="宋体" w:cs="宋体"/>
          <w:color w:val="auto"/>
          <w:sz w:val="28"/>
          <w:szCs w:val="28"/>
          <w:highlight w:val="none"/>
          <w:lang w:val="zh-CN"/>
        </w:rPr>
        <w:t>电气</w:t>
      </w:r>
      <w:bookmarkEnd w:id="852"/>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本项目设计采用《建筑设计防火规范（</w:t>
      </w:r>
      <w:r>
        <w:rPr>
          <w:rFonts w:ascii="宋体" w:hAnsi="宋体" w:cs="宋体"/>
          <w:color w:val="auto"/>
          <w:sz w:val="28"/>
          <w:szCs w:val="28"/>
          <w:highlight w:val="none"/>
          <w:lang w:val="zh-CN"/>
        </w:rPr>
        <w:t>2018</w:t>
      </w:r>
      <w:r>
        <w:rPr>
          <w:rFonts w:hint="eastAsia" w:ascii="宋体" w:hAnsi="宋体" w:cs="宋体"/>
          <w:color w:val="auto"/>
          <w:sz w:val="28"/>
          <w:szCs w:val="28"/>
          <w:highlight w:val="none"/>
          <w:lang w:val="zh-CN"/>
        </w:rPr>
        <w:t>版）》（</w:t>
      </w:r>
      <w:r>
        <w:rPr>
          <w:rFonts w:ascii="宋体" w:hAnsi="宋体" w:cs="宋体"/>
          <w:color w:val="auto"/>
          <w:sz w:val="28"/>
          <w:szCs w:val="28"/>
          <w:highlight w:val="none"/>
          <w:lang w:val="zh-CN"/>
        </w:rPr>
        <w:t>GB50016-2014</w:t>
      </w:r>
      <w:r>
        <w:rPr>
          <w:rFonts w:hint="eastAsia" w:ascii="宋体" w:hAnsi="宋体" w:cs="宋体"/>
          <w:color w:val="auto"/>
          <w:sz w:val="28"/>
          <w:szCs w:val="28"/>
          <w:highlight w:val="none"/>
          <w:lang w:val="zh-CN"/>
        </w:rPr>
        <w:t>），《建筑物防雷设计防火规范》（</w:t>
      </w:r>
      <w:r>
        <w:rPr>
          <w:rFonts w:ascii="宋体" w:hAnsi="宋体" w:cs="宋体"/>
          <w:color w:val="auto"/>
          <w:sz w:val="28"/>
          <w:szCs w:val="28"/>
          <w:highlight w:val="none"/>
          <w:lang w:val="zh-CN"/>
        </w:rPr>
        <w:t>GB50057-2010</w:t>
      </w:r>
      <w:r>
        <w:rPr>
          <w:rFonts w:hint="eastAsia" w:ascii="宋体" w:hAnsi="宋体" w:cs="宋体"/>
          <w:color w:val="auto"/>
          <w:sz w:val="28"/>
          <w:szCs w:val="28"/>
          <w:highlight w:val="none"/>
          <w:lang w:val="zh-CN"/>
        </w:rPr>
        <w:t>），《爆炸和火灾危险环境电力装置设计防火规范》（</w:t>
      </w:r>
      <w:r>
        <w:rPr>
          <w:rFonts w:ascii="宋体" w:hAnsi="宋体" w:cs="宋体"/>
          <w:color w:val="auto"/>
          <w:sz w:val="28"/>
          <w:szCs w:val="28"/>
          <w:highlight w:val="none"/>
          <w:lang w:val="zh-CN"/>
        </w:rPr>
        <w:t>GB50058-2014</w:t>
      </w:r>
      <w:r>
        <w:rPr>
          <w:rFonts w:hint="eastAsia" w:ascii="宋体" w:hAnsi="宋体" w:cs="宋体"/>
          <w:color w:val="auto"/>
          <w:sz w:val="28"/>
          <w:szCs w:val="28"/>
          <w:highlight w:val="none"/>
          <w:lang w:val="zh-CN"/>
        </w:rPr>
        <w:t>）等规范。电气专业防火的重点是防雷、防静电和接地的设计。</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根据车间的不同环境特性，选用防腐、防水、防尘、防爆的电气设备，并设置防雷、防静电设施和接地保护。</w:t>
      </w:r>
    </w:p>
    <w:bookmarkEnd w:id="848"/>
    <w:bookmarkEnd w:id="849"/>
    <w:bookmarkEnd w:id="850"/>
    <w:bookmarkEnd w:id="851"/>
    <w:p>
      <w:pPr>
        <w:pStyle w:val="33"/>
        <w:spacing w:line="560" w:lineRule="exact"/>
        <w:ind w:firstLine="31680"/>
        <w:rPr>
          <w:rFonts w:ascii="宋体" w:cs="宋体"/>
          <w:color w:val="auto"/>
          <w:sz w:val="28"/>
          <w:szCs w:val="28"/>
          <w:highlight w:val="none"/>
          <w:lang w:val="zh-CN"/>
        </w:rPr>
      </w:pPr>
      <w:bookmarkStart w:id="853" w:name="_Toc177563900"/>
      <w:bookmarkStart w:id="854" w:name="_Toc228"/>
      <w:bookmarkStart w:id="855" w:name="_Toc12386"/>
      <w:bookmarkStart w:id="856" w:name="_Toc3448"/>
      <w:bookmarkStart w:id="857" w:name="_Toc23883"/>
      <w:bookmarkStart w:id="858" w:name="_Toc24768"/>
      <w:bookmarkStart w:id="859" w:name="_Toc21582"/>
      <w:bookmarkStart w:id="860" w:name="_Toc4623"/>
      <w:bookmarkStart w:id="861" w:name="_Toc21249"/>
      <w:bookmarkStart w:id="862" w:name="_Toc31479"/>
      <w:bookmarkStart w:id="863" w:name="_Toc15576"/>
      <w:bookmarkStart w:id="864" w:name="_Toc11024"/>
      <w:bookmarkStart w:id="865" w:name="_Toc20563"/>
      <w:bookmarkStart w:id="866" w:name="_Toc32205"/>
      <w:bookmarkStart w:id="867" w:name="_Toc18537"/>
      <w:bookmarkStart w:id="868" w:name="_Toc27998"/>
      <w:bookmarkStart w:id="869" w:name="_Toc24596"/>
      <w:bookmarkStart w:id="870" w:name="_Toc358793978"/>
      <w:bookmarkStart w:id="871" w:name="_Toc9901"/>
      <w:bookmarkStart w:id="872" w:name="_Toc29424"/>
      <w:bookmarkStart w:id="873" w:name="_Toc330912009"/>
      <w:r>
        <w:rPr>
          <w:rFonts w:ascii="宋体" w:hAnsi="宋体" w:cs="宋体"/>
          <w:color w:val="auto"/>
          <w:sz w:val="28"/>
          <w:szCs w:val="28"/>
          <w:highlight w:val="none"/>
          <w:lang w:val="zh-CN"/>
        </w:rPr>
        <w:t xml:space="preserve">10.5.4 </w:t>
      </w:r>
      <w:r>
        <w:rPr>
          <w:rFonts w:hint="eastAsia" w:ascii="宋体" w:hAnsi="宋体" w:cs="宋体"/>
          <w:color w:val="auto"/>
          <w:sz w:val="28"/>
          <w:szCs w:val="28"/>
          <w:highlight w:val="none"/>
          <w:lang w:val="zh-CN"/>
        </w:rPr>
        <w:t>移动式灭火器配置</w:t>
      </w:r>
      <w:bookmarkEnd w:id="853"/>
      <w:bookmarkEnd w:id="854"/>
    </w:p>
    <w:p>
      <w:pPr>
        <w:pStyle w:val="33"/>
        <w:spacing w:line="560" w:lineRule="exact"/>
        <w:ind w:firstLine="31680"/>
        <w:rPr>
          <w:rFonts w:ascii="宋体" w:cs="宋体"/>
          <w:color w:val="auto"/>
          <w:sz w:val="28"/>
          <w:szCs w:val="28"/>
          <w:highlight w:val="none"/>
          <w:lang w:val="zh-CN"/>
        </w:rPr>
      </w:pPr>
      <w:bookmarkStart w:id="874" w:name="_Toc9543"/>
      <w:bookmarkStart w:id="875" w:name="_Toc16275"/>
      <w:bookmarkStart w:id="876" w:name="_Toc11947"/>
      <w:r>
        <w:rPr>
          <w:rFonts w:hint="eastAsia" w:ascii="宋体" w:hAnsi="宋体" w:cs="宋体"/>
          <w:color w:val="auto"/>
          <w:sz w:val="28"/>
          <w:szCs w:val="28"/>
          <w:highlight w:val="none"/>
          <w:lang w:val="zh-CN"/>
        </w:rPr>
        <w:t>依据《建筑设计防火规范（</w:t>
      </w:r>
      <w:r>
        <w:rPr>
          <w:rFonts w:ascii="宋体" w:hAnsi="宋体" w:cs="宋体"/>
          <w:color w:val="auto"/>
          <w:sz w:val="28"/>
          <w:szCs w:val="28"/>
          <w:highlight w:val="none"/>
          <w:lang w:val="zh-CN"/>
        </w:rPr>
        <w:t>2018</w:t>
      </w:r>
      <w:r>
        <w:rPr>
          <w:rFonts w:hint="eastAsia" w:ascii="宋体" w:hAnsi="宋体" w:cs="宋体"/>
          <w:color w:val="auto"/>
          <w:sz w:val="28"/>
          <w:szCs w:val="28"/>
          <w:highlight w:val="none"/>
          <w:lang w:val="zh-CN"/>
        </w:rPr>
        <w:t>年版）》（</w:t>
      </w:r>
      <w:r>
        <w:rPr>
          <w:rFonts w:ascii="宋体" w:hAnsi="宋体" w:cs="宋体"/>
          <w:color w:val="auto"/>
          <w:sz w:val="28"/>
          <w:szCs w:val="28"/>
          <w:highlight w:val="none"/>
          <w:lang w:val="zh-CN"/>
        </w:rPr>
        <w:t>GB50016-2014</w:t>
      </w:r>
      <w:r>
        <w:rPr>
          <w:rFonts w:hint="eastAsia" w:ascii="宋体" w:hAnsi="宋体" w:cs="宋体"/>
          <w:color w:val="auto"/>
          <w:sz w:val="28"/>
          <w:szCs w:val="28"/>
          <w:highlight w:val="none"/>
          <w:lang w:val="zh-CN"/>
        </w:rPr>
        <w:t>）、《建筑灭火器配置设计规范》（</w:t>
      </w:r>
      <w:r>
        <w:rPr>
          <w:rFonts w:ascii="宋体" w:hAnsi="宋体" w:cs="宋体"/>
          <w:color w:val="auto"/>
          <w:sz w:val="28"/>
          <w:szCs w:val="28"/>
          <w:highlight w:val="none"/>
          <w:lang w:val="zh-CN"/>
        </w:rPr>
        <w:t>GB50140-2005</w:t>
      </w:r>
      <w:r>
        <w:rPr>
          <w:rFonts w:hint="eastAsia" w:ascii="宋体" w:hAnsi="宋体" w:cs="宋体"/>
          <w:color w:val="auto"/>
          <w:sz w:val="28"/>
          <w:szCs w:val="28"/>
          <w:highlight w:val="none"/>
          <w:lang w:val="zh-CN"/>
        </w:rPr>
        <w:t>）的要求，在各生产装置及辅助生产装置均按其危险等级，设置手提式或推车式灭火器，以迅速扑救小型火点的初期火灾。根据现行国家相关标准在本工程范围内配置一定数量的移动式灭火设备和器材。</w:t>
      </w:r>
    </w:p>
    <w:p>
      <w:pPr>
        <w:pStyle w:val="33"/>
        <w:spacing w:line="560" w:lineRule="exact"/>
        <w:ind w:firstLine="31680"/>
        <w:outlineLvl w:val="1"/>
        <w:rPr>
          <w:rFonts w:ascii="宋体" w:cs="宋体"/>
          <w:color w:val="auto"/>
          <w:sz w:val="28"/>
          <w:szCs w:val="28"/>
          <w:highlight w:val="none"/>
          <w:lang w:val="zh-CN"/>
        </w:rPr>
      </w:pPr>
      <w:bookmarkStart w:id="877" w:name="_Toc27855"/>
      <w:bookmarkStart w:id="878" w:name="_Toc10067"/>
      <w:r>
        <w:rPr>
          <w:rFonts w:ascii="宋体" w:hAnsi="宋体" w:cs="宋体"/>
          <w:color w:val="auto"/>
          <w:sz w:val="28"/>
          <w:szCs w:val="28"/>
          <w:highlight w:val="none"/>
          <w:lang w:val="zh-CN"/>
        </w:rPr>
        <w:t xml:space="preserve">10.6 </w:t>
      </w:r>
      <w:r>
        <w:rPr>
          <w:rFonts w:hint="eastAsia" w:ascii="宋体" w:hAnsi="宋体" w:cs="宋体"/>
          <w:color w:val="auto"/>
          <w:sz w:val="28"/>
          <w:szCs w:val="28"/>
          <w:highlight w:val="none"/>
          <w:lang w:val="zh-CN"/>
        </w:rPr>
        <w:t>安全可靠性</w:t>
      </w:r>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本工程采取以预防为主的方针，从总图布置、建筑设计上，都以安全、防火为出发点，有系统地进行全面考虑。在消防措施上，将水消防和化学消防相结合，可以保证扑灭初期火灾，但在扑灭初期火灾的同时，应立即向消防部门发出报警信号，以求援助。</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采用以上消防措施后，只要严格按照的关规范进行施工，认真执行操作规程，加强防火安全意识，就可使工程火灾危险性降低，防火安全得到保障。</w:t>
      </w:r>
    </w:p>
    <w:p>
      <w:pPr>
        <w:rPr>
          <w:color w:val="auto"/>
          <w:highlight w:val="none"/>
        </w:rPr>
      </w:pPr>
    </w:p>
    <w:p>
      <w:pPr>
        <w:pStyle w:val="34"/>
        <w:rPr>
          <w:color w:val="auto"/>
          <w:highlight w:val="none"/>
        </w:rPr>
        <w:sectPr>
          <w:pgSz w:w="11906" w:h="16838"/>
          <w:pgMar w:top="1440" w:right="1800" w:bottom="1440" w:left="1800" w:header="851" w:footer="992" w:gutter="0"/>
          <w:cols w:space="425" w:num="1"/>
          <w:docGrid w:type="lines" w:linePitch="312" w:charSpace="0"/>
        </w:sectPr>
      </w:pPr>
    </w:p>
    <w:p>
      <w:pPr>
        <w:pStyle w:val="2"/>
        <w:spacing w:before="0" w:after="0" w:line="560" w:lineRule="exact"/>
        <w:jc w:val="center"/>
        <w:rPr>
          <w:rFonts w:ascii="宋体" w:cs="宋体"/>
          <w:color w:val="auto"/>
          <w:sz w:val="32"/>
          <w:szCs w:val="32"/>
          <w:highlight w:val="none"/>
        </w:rPr>
      </w:pPr>
      <w:bookmarkStart w:id="879" w:name="_Toc20125"/>
      <w:bookmarkStart w:id="880" w:name="_Toc22953"/>
      <w:bookmarkStart w:id="881" w:name="_Toc31560"/>
      <w:bookmarkStart w:id="882" w:name="_Toc25217"/>
      <w:bookmarkStart w:id="883" w:name="_Toc14407_WPSOffice_Level1"/>
      <w:bookmarkStart w:id="884" w:name="_Toc20993_WPSOffice_Level1"/>
      <w:bookmarkStart w:id="885" w:name="_Toc10817"/>
      <w:r>
        <w:rPr>
          <w:rFonts w:hint="eastAsia" w:ascii="宋体" w:hAnsi="宋体" w:cs="宋体"/>
          <w:color w:val="auto"/>
          <w:sz w:val="32"/>
          <w:szCs w:val="32"/>
          <w:highlight w:val="none"/>
        </w:rPr>
        <w:t>第十一章</w:t>
      </w:r>
      <w:r>
        <w:rPr>
          <w:rFonts w:ascii="宋体" w:hAnsi="宋体" w:cs="宋体"/>
          <w:color w:val="auto"/>
          <w:sz w:val="32"/>
          <w:szCs w:val="32"/>
          <w:highlight w:val="none"/>
        </w:rPr>
        <w:t xml:space="preserve"> </w:t>
      </w:r>
      <w:r>
        <w:rPr>
          <w:rFonts w:hint="eastAsia" w:ascii="宋体" w:hAnsi="宋体" w:cs="宋体"/>
          <w:color w:val="auto"/>
          <w:sz w:val="32"/>
          <w:szCs w:val="32"/>
          <w:highlight w:val="none"/>
        </w:rPr>
        <w:t>环境保护</w:t>
      </w:r>
      <w:bookmarkEnd w:id="879"/>
      <w:bookmarkEnd w:id="880"/>
      <w:bookmarkEnd w:id="881"/>
      <w:bookmarkEnd w:id="882"/>
      <w:bookmarkEnd w:id="883"/>
      <w:bookmarkEnd w:id="884"/>
      <w:bookmarkEnd w:id="885"/>
    </w:p>
    <w:p>
      <w:pPr>
        <w:pStyle w:val="32"/>
        <w:numPr>
          <w:ilvl w:val="0"/>
          <w:numId w:val="4"/>
        </w:numPr>
        <w:spacing w:line="560" w:lineRule="exact"/>
        <w:ind w:firstLine="31680"/>
        <w:jc w:val="left"/>
        <w:outlineLvl w:val="1"/>
        <w:rPr>
          <w:rStyle w:val="43"/>
          <w:rFonts w:ascii="宋体" w:hAnsi="Calibri" w:eastAsia="宋体" w:cs="宋体"/>
          <w:bCs/>
          <w:vanish/>
          <w:color w:val="auto"/>
          <w:sz w:val="28"/>
          <w:szCs w:val="28"/>
          <w:highlight w:val="none"/>
        </w:rPr>
      </w:pPr>
      <w:bookmarkStart w:id="886" w:name="_Toc8617"/>
      <w:bookmarkEnd w:id="886"/>
      <w:bookmarkStart w:id="887" w:name="_Toc31186"/>
      <w:bookmarkEnd w:id="887"/>
      <w:bookmarkStart w:id="888" w:name="_Toc485131198"/>
      <w:bookmarkEnd w:id="888"/>
      <w:bookmarkStart w:id="889" w:name="_Toc485079168"/>
      <w:bookmarkEnd w:id="889"/>
      <w:bookmarkStart w:id="890" w:name="_Toc470509362"/>
      <w:bookmarkEnd w:id="890"/>
      <w:bookmarkStart w:id="891" w:name="_Toc486495345"/>
      <w:bookmarkEnd w:id="891"/>
      <w:bookmarkStart w:id="892" w:name="_Toc9340"/>
      <w:bookmarkEnd w:id="892"/>
      <w:bookmarkStart w:id="893" w:name="_Toc472090512"/>
      <w:bookmarkEnd w:id="893"/>
      <w:bookmarkStart w:id="894" w:name="_Toc485130995"/>
      <w:bookmarkEnd w:id="894"/>
      <w:bookmarkStart w:id="895" w:name="_Toc474941290"/>
      <w:bookmarkEnd w:id="895"/>
      <w:bookmarkStart w:id="896" w:name="_Toc492900284"/>
      <w:bookmarkEnd w:id="896"/>
      <w:bookmarkStart w:id="897" w:name="_Toc475520072"/>
      <w:bookmarkEnd w:id="897"/>
      <w:bookmarkStart w:id="898" w:name="_Toc485139546"/>
      <w:bookmarkEnd w:id="898"/>
      <w:bookmarkStart w:id="899" w:name="_Toc485072489"/>
      <w:bookmarkEnd w:id="899"/>
      <w:bookmarkStart w:id="900" w:name="_Toc468190044"/>
      <w:bookmarkEnd w:id="900"/>
      <w:bookmarkStart w:id="901" w:name="_Toc24126"/>
      <w:bookmarkEnd w:id="901"/>
      <w:bookmarkStart w:id="902" w:name="_Toc493755185"/>
      <w:bookmarkEnd w:id="902"/>
      <w:bookmarkStart w:id="903" w:name="_Toc485073095"/>
      <w:bookmarkEnd w:id="903"/>
      <w:bookmarkStart w:id="904" w:name="_Toc485072691"/>
      <w:bookmarkEnd w:id="904"/>
      <w:bookmarkStart w:id="905" w:name="_Toc485139344"/>
      <w:bookmarkEnd w:id="905"/>
      <w:bookmarkStart w:id="906" w:name="_Toc472090937"/>
      <w:bookmarkEnd w:id="906"/>
      <w:bookmarkStart w:id="907" w:name="_Toc485148799"/>
      <w:bookmarkEnd w:id="907"/>
      <w:bookmarkStart w:id="908" w:name="_Toc467420271"/>
      <w:bookmarkEnd w:id="908"/>
      <w:bookmarkStart w:id="909" w:name="_Toc467418899"/>
      <w:bookmarkEnd w:id="909"/>
      <w:bookmarkStart w:id="910" w:name="_Toc485071601"/>
      <w:bookmarkEnd w:id="910"/>
      <w:bookmarkStart w:id="911" w:name="_Toc485072893"/>
      <w:bookmarkEnd w:id="911"/>
      <w:bookmarkStart w:id="912" w:name="_Toc485071803"/>
      <w:bookmarkEnd w:id="912"/>
      <w:bookmarkStart w:id="913" w:name="_Toc497731186"/>
      <w:bookmarkEnd w:id="913"/>
      <w:bookmarkStart w:id="914" w:name="_Toc486495615"/>
      <w:bookmarkEnd w:id="914"/>
      <w:bookmarkStart w:id="915" w:name="_Toc496512768"/>
      <w:bookmarkEnd w:id="915"/>
      <w:bookmarkStart w:id="916" w:name="_Toc467419426"/>
      <w:bookmarkEnd w:id="916"/>
    </w:p>
    <w:p>
      <w:pPr>
        <w:pStyle w:val="32"/>
        <w:spacing w:line="560" w:lineRule="exact"/>
        <w:ind w:firstLine="31680"/>
        <w:jc w:val="left"/>
        <w:outlineLvl w:val="1"/>
        <w:rPr>
          <w:rStyle w:val="43"/>
          <w:rFonts w:ascii="宋体" w:hAnsi="Calibri" w:eastAsia="宋体" w:cs="宋体"/>
          <w:bCs/>
          <w:color w:val="auto"/>
          <w:sz w:val="28"/>
          <w:szCs w:val="28"/>
          <w:highlight w:val="none"/>
        </w:rPr>
      </w:pPr>
      <w:bookmarkStart w:id="917" w:name="_Toc8312"/>
      <w:bookmarkStart w:id="918" w:name="_Toc1515"/>
      <w:bookmarkStart w:id="919" w:name="_Toc27860_WPSOffice_Level2"/>
      <w:bookmarkStart w:id="920" w:name="_Toc25660_WPSOffice_Level2"/>
      <w:bookmarkStart w:id="921" w:name="_Toc18889"/>
      <w:bookmarkStart w:id="922" w:name="_Toc28530"/>
      <w:bookmarkStart w:id="923" w:name="_Toc1358"/>
      <w:bookmarkStart w:id="924" w:name="_Toc9029_WPSOffice_Level2"/>
      <w:bookmarkStart w:id="925" w:name="_Toc23961"/>
      <w:bookmarkStart w:id="926" w:name="_Toc14854_WPSOffice_Level2"/>
      <w:r>
        <w:rPr>
          <w:rStyle w:val="43"/>
          <w:rFonts w:ascii="宋体" w:hAnsi="宋体" w:eastAsia="宋体" w:cs="宋体"/>
          <w:bCs/>
          <w:color w:val="auto"/>
          <w:sz w:val="28"/>
          <w:szCs w:val="28"/>
          <w:highlight w:val="none"/>
        </w:rPr>
        <w:t>11.1</w:t>
      </w:r>
      <w:r>
        <w:rPr>
          <w:rStyle w:val="43"/>
          <w:rFonts w:hint="eastAsia" w:ascii="宋体" w:hAnsi="宋体" w:eastAsia="宋体" w:cs="宋体"/>
          <w:bCs/>
          <w:color w:val="auto"/>
          <w:sz w:val="28"/>
          <w:szCs w:val="28"/>
          <w:highlight w:val="none"/>
        </w:rPr>
        <w:t>环境质量现状</w:t>
      </w:r>
      <w:bookmarkEnd w:id="917"/>
    </w:p>
    <w:p>
      <w:pPr>
        <w:spacing w:line="560" w:lineRule="exact"/>
        <w:ind w:firstLine="560" w:firstLineChars="200"/>
        <w:jc w:val="left"/>
        <w:rPr>
          <w:rFonts w:ascii="宋体" w:cs="宋体"/>
          <w:bCs/>
          <w:color w:val="auto"/>
          <w:sz w:val="28"/>
          <w:szCs w:val="28"/>
          <w:highlight w:val="none"/>
        </w:rPr>
      </w:pPr>
      <w:r>
        <w:rPr>
          <w:rFonts w:ascii="宋体" w:hAnsi="宋体" w:cs="宋体"/>
          <w:bCs/>
          <w:color w:val="auto"/>
          <w:sz w:val="28"/>
          <w:szCs w:val="28"/>
          <w:highlight w:val="none"/>
        </w:rPr>
        <w:t>(1)</w:t>
      </w:r>
      <w:r>
        <w:rPr>
          <w:rFonts w:hint="eastAsia" w:ascii="宋体" w:hAnsi="宋体" w:cs="宋体"/>
          <w:bCs/>
          <w:color w:val="auto"/>
          <w:sz w:val="28"/>
          <w:szCs w:val="28"/>
          <w:highlight w:val="none"/>
        </w:rPr>
        <w:t>地理位置</w:t>
      </w:r>
    </w:p>
    <w:p>
      <w:pPr>
        <w:spacing w:line="560" w:lineRule="exact"/>
        <w:ind w:firstLine="560" w:firstLineChars="200"/>
        <w:jc w:val="left"/>
        <w:outlineLvl w:val="3"/>
        <w:rPr>
          <w:rFonts w:ascii="宋体" w:cs="宋体"/>
          <w:color w:val="auto"/>
          <w:sz w:val="28"/>
          <w:szCs w:val="28"/>
          <w:highlight w:val="none"/>
        </w:rPr>
      </w:pPr>
      <w:r>
        <w:rPr>
          <w:rFonts w:hint="eastAsia" w:ascii="宋体" w:hAnsi="宋体" w:cs="宋体"/>
          <w:color w:val="auto"/>
          <w:sz w:val="28"/>
          <w:szCs w:val="28"/>
          <w:highlight w:val="none"/>
        </w:rPr>
        <w:t>江苏索普新材料科技有限公司位于江苏省镇江经济开发区镇江新区大港临江西路</w:t>
      </w:r>
      <w:r>
        <w:rPr>
          <w:rFonts w:ascii="宋体" w:hAnsi="宋体" w:cs="宋体"/>
          <w:color w:val="auto"/>
          <w:sz w:val="28"/>
          <w:szCs w:val="28"/>
          <w:highlight w:val="none"/>
        </w:rPr>
        <w:t>35</w:t>
      </w:r>
      <w:r>
        <w:rPr>
          <w:rFonts w:hint="eastAsia" w:ascii="宋体" w:hAnsi="宋体" w:cs="宋体"/>
          <w:color w:val="auto"/>
          <w:sz w:val="28"/>
          <w:szCs w:val="28"/>
          <w:highlight w:val="none"/>
        </w:rPr>
        <w:t>号。</w:t>
      </w:r>
    </w:p>
    <w:p>
      <w:pPr>
        <w:spacing w:line="560" w:lineRule="exact"/>
        <w:ind w:firstLine="560" w:firstLineChars="200"/>
        <w:jc w:val="left"/>
        <w:rPr>
          <w:rFonts w:ascii="宋体" w:cs="宋体"/>
          <w:bCs/>
          <w:color w:val="auto"/>
          <w:sz w:val="28"/>
          <w:szCs w:val="28"/>
          <w:highlight w:val="none"/>
        </w:rPr>
      </w:pPr>
      <w:r>
        <w:rPr>
          <w:rFonts w:ascii="宋体" w:hAnsi="宋体" w:cs="宋体"/>
          <w:bCs/>
          <w:color w:val="auto"/>
          <w:sz w:val="28"/>
          <w:szCs w:val="28"/>
          <w:highlight w:val="none"/>
        </w:rPr>
        <w:t>(2)</w:t>
      </w:r>
      <w:r>
        <w:rPr>
          <w:rFonts w:hint="eastAsia" w:ascii="宋体" w:hAnsi="宋体" w:cs="宋体"/>
          <w:bCs/>
          <w:color w:val="auto"/>
          <w:sz w:val="28"/>
          <w:szCs w:val="28"/>
          <w:highlight w:val="none"/>
        </w:rPr>
        <w:t>气象特征</w:t>
      </w:r>
    </w:p>
    <w:p>
      <w:pPr>
        <w:spacing w:line="560" w:lineRule="exact"/>
        <w:ind w:firstLine="560" w:firstLineChars="200"/>
        <w:jc w:val="left"/>
        <w:outlineLvl w:val="3"/>
        <w:rPr>
          <w:rFonts w:ascii="宋体" w:cs="宋体"/>
          <w:color w:val="auto"/>
          <w:sz w:val="28"/>
          <w:szCs w:val="28"/>
          <w:highlight w:val="none"/>
        </w:rPr>
      </w:pPr>
      <w:r>
        <w:rPr>
          <w:rFonts w:hint="eastAsia" w:ascii="宋体" w:hAnsi="宋体" w:cs="宋体"/>
          <w:color w:val="auto"/>
          <w:sz w:val="28"/>
          <w:szCs w:val="28"/>
          <w:highlight w:val="none"/>
        </w:rPr>
        <w:t>项目所在地年平均气温</w:t>
      </w:r>
      <w:r>
        <w:rPr>
          <w:rFonts w:ascii="宋体" w:hAnsi="宋体" w:cs="宋体"/>
          <w:color w:val="auto"/>
          <w:sz w:val="28"/>
          <w:szCs w:val="28"/>
          <w:highlight w:val="none"/>
        </w:rPr>
        <w:t>15.2</w:t>
      </w:r>
      <w:r>
        <w:rPr>
          <w:rFonts w:hint="eastAsia" w:ascii="宋体" w:hAnsi="宋体" w:cs="宋体"/>
          <w:color w:val="auto"/>
          <w:sz w:val="28"/>
          <w:szCs w:val="28"/>
          <w:highlight w:val="none"/>
        </w:rPr>
        <w:t>℃，年平均降水量</w:t>
      </w:r>
      <w:r>
        <w:rPr>
          <w:rFonts w:ascii="宋体" w:hAnsi="宋体" w:cs="宋体"/>
          <w:color w:val="auto"/>
          <w:sz w:val="28"/>
          <w:szCs w:val="28"/>
          <w:highlight w:val="none"/>
        </w:rPr>
        <w:t>1015.8mm</w:t>
      </w:r>
      <w:r>
        <w:rPr>
          <w:rFonts w:hint="eastAsia" w:ascii="宋体" w:hAnsi="宋体" w:cs="宋体"/>
          <w:color w:val="auto"/>
          <w:sz w:val="28"/>
          <w:szCs w:val="28"/>
          <w:highlight w:val="none"/>
        </w:rPr>
        <w:t>，年平均风速</w:t>
      </w:r>
      <w:r>
        <w:rPr>
          <w:rFonts w:ascii="宋体" w:hAnsi="宋体" w:cs="宋体"/>
          <w:color w:val="auto"/>
          <w:sz w:val="28"/>
          <w:szCs w:val="28"/>
          <w:highlight w:val="none"/>
        </w:rPr>
        <w:t>3.8m/s</w:t>
      </w:r>
      <w:r>
        <w:rPr>
          <w:rFonts w:hint="eastAsia" w:ascii="宋体" w:hAnsi="宋体" w:cs="宋体"/>
          <w:color w:val="auto"/>
          <w:sz w:val="28"/>
          <w:szCs w:val="28"/>
          <w:highlight w:val="none"/>
        </w:rPr>
        <w:t>，年平均湿度</w:t>
      </w:r>
      <w:r>
        <w:rPr>
          <w:rFonts w:ascii="宋体" w:hAnsi="宋体" w:cs="宋体"/>
          <w:color w:val="auto"/>
          <w:sz w:val="28"/>
          <w:szCs w:val="28"/>
          <w:highlight w:val="none"/>
        </w:rPr>
        <w:t>80%</w:t>
      </w:r>
      <w:r>
        <w:rPr>
          <w:rFonts w:hint="eastAsia" w:ascii="宋体" w:hAnsi="宋体" w:cs="宋体"/>
          <w:color w:val="auto"/>
          <w:sz w:val="28"/>
          <w:szCs w:val="28"/>
          <w:highlight w:val="none"/>
        </w:rPr>
        <w:t>，常年主导风向为东南风、东南东风，平均风速为</w:t>
      </w:r>
      <w:r>
        <w:rPr>
          <w:rFonts w:ascii="宋体" w:hAnsi="宋体" w:cs="宋体"/>
          <w:color w:val="auto"/>
          <w:sz w:val="28"/>
          <w:szCs w:val="28"/>
          <w:highlight w:val="none"/>
        </w:rPr>
        <w:t>3.3m/s</w:t>
      </w:r>
      <w:r>
        <w:rPr>
          <w:rFonts w:hint="eastAsia" w:ascii="宋体" w:hAnsi="宋体" w:cs="宋体"/>
          <w:color w:val="auto"/>
          <w:sz w:val="28"/>
          <w:szCs w:val="28"/>
          <w:highlight w:val="none"/>
        </w:rPr>
        <w:t>。</w:t>
      </w:r>
    </w:p>
    <w:p>
      <w:pPr>
        <w:spacing w:line="560" w:lineRule="exact"/>
        <w:ind w:firstLine="560" w:firstLineChars="200"/>
        <w:jc w:val="left"/>
        <w:rPr>
          <w:rFonts w:ascii="宋体" w:cs="宋体"/>
          <w:bCs/>
          <w:color w:val="auto"/>
          <w:sz w:val="28"/>
          <w:szCs w:val="28"/>
          <w:highlight w:val="none"/>
        </w:rPr>
      </w:pPr>
      <w:r>
        <w:rPr>
          <w:rFonts w:ascii="宋体" w:hAnsi="宋体" w:cs="宋体"/>
          <w:bCs/>
          <w:color w:val="auto"/>
          <w:sz w:val="28"/>
          <w:szCs w:val="28"/>
          <w:highlight w:val="none"/>
        </w:rPr>
        <w:t xml:space="preserve">(3) </w:t>
      </w:r>
      <w:r>
        <w:rPr>
          <w:rFonts w:hint="eastAsia" w:ascii="宋体" w:hAnsi="宋体" w:cs="宋体"/>
          <w:bCs/>
          <w:color w:val="auto"/>
          <w:sz w:val="28"/>
          <w:szCs w:val="28"/>
          <w:highlight w:val="none"/>
        </w:rPr>
        <w:t>企业“三废”排放现状</w:t>
      </w:r>
    </w:p>
    <w:p>
      <w:pPr>
        <w:spacing w:line="560" w:lineRule="exact"/>
        <w:ind w:firstLine="560" w:firstLineChars="200"/>
        <w:jc w:val="left"/>
        <w:outlineLvl w:val="3"/>
        <w:rPr>
          <w:rFonts w:ascii="宋体" w:cs="宋体"/>
          <w:color w:val="auto"/>
          <w:sz w:val="28"/>
          <w:szCs w:val="28"/>
          <w:highlight w:val="none"/>
        </w:rPr>
      </w:pPr>
      <w:r>
        <w:rPr>
          <w:rFonts w:hint="eastAsia" w:ascii="宋体" w:hAnsi="宋体" w:cs="宋体"/>
          <w:color w:val="auto"/>
          <w:sz w:val="28"/>
          <w:szCs w:val="28"/>
          <w:highlight w:val="none"/>
        </w:rPr>
        <w:t>目前环境质量符合国家标准，符合</w:t>
      </w:r>
      <w:r>
        <w:rPr>
          <w:rFonts w:ascii="宋体" w:hAnsi="宋体" w:cs="宋体"/>
          <w:color w:val="auto"/>
          <w:sz w:val="28"/>
          <w:szCs w:val="28"/>
          <w:highlight w:val="none"/>
        </w:rPr>
        <w:t>GBZ2.1-2019</w:t>
      </w:r>
      <w:r>
        <w:rPr>
          <w:rFonts w:hint="eastAsia" w:ascii="宋体" w:hAnsi="宋体" w:cs="宋体"/>
          <w:color w:val="auto"/>
          <w:sz w:val="28"/>
          <w:szCs w:val="28"/>
          <w:highlight w:val="none"/>
        </w:rPr>
        <w:t>、</w:t>
      </w:r>
      <w:r>
        <w:rPr>
          <w:rFonts w:ascii="宋体" w:hAnsi="宋体" w:cs="宋体"/>
          <w:color w:val="auto"/>
          <w:sz w:val="28"/>
          <w:szCs w:val="28"/>
          <w:highlight w:val="none"/>
        </w:rPr>
        <w:t>GBZ2.2-2007</w:t>
      </w:r>
      <w:r>
        <w:rPr>
          <w:rFonts w:hint="eastAsia" w:ascii="宋体" w:hAnsi="宋体" w:cs="宋体"/>
          <w:color w:val="auto"/>
          <w:sz w:val="28"/>
          <w:szCs w:val="28"/>
          <w:highlight w:val="none"/>
        </w:rPr>
        <w:t>《工作场所有害因素职业接触限值》短时间接触容许浓度之要求；大气粉尘项目符合</w:t>
      </w:r>
      <w:r>
        <w:rPr>
          <w:rFonts w:ascii="宋体" w:hAnsi="宋体" w:cs="宋体"/>
          <w:color w:val="auto"/>
          <w:sz w:val="28"/>
          <w:szCs w:val="28"/>
          <w:highlight w:val="none"/>
        </w:rPr>
        <w:t>GBZ2.1-2019</w:t>
      </w:r>
      <w:r>
        <w:rPr>
          <w:rFonts w:hint="eastAsia" w:ascii="宋体" w:hAnsi="宋体" w:cs="宋体"/>
          <w:color w:val="auto"/>
          <w:sz w:val="28"/>
          <w:szCs w:val="28"/>
          <w:highlight w:val="none"/>
        </w:rPr>
        <w:t>、</w:t>
      </w:r>
      <w:r>
        <w:rPr>
          <w:rFonts w:ascii="宋体" w:hAnsi="宋体" w:cs="宋体"/>
          <w:color w:val="auto"/>
          <w:sz w:val="28"/>
          <w:szCs w:val="28"/>
          <w:highlight w:val="none"/>
        </w:rPr>
        <w:t>GBZ2.2-2007</w:t>
      </w:r>
      <w:r>
        <w:rPr>
          <w:rFonts w:hint="eastAsia" w:ascii="宋体" w:hAnsi="宋体" w:cs="宋体"/>
          <w:color w:val="auto"/>
          <w:sz w:val="28"/>
          <w:szCs w:val="28"/>
          <w:highlight w:val="none"/>
        </w:rPr>
        <w:t>《工作场所有害因素职业接触限值》短时间接触容许浓度要求</w:t>
      </w:r>
      <w:r>
        <w:rPr>
          <w:rFonts w:ascii="宋体" w:hAnsi="宋体" w:cs="宋体"/>
          <w:color w:val="auto"/>
          <w:sz w:val="28"/>
          <w:szCs w:val="28"/>
          <w:highlight w:val="none"/>
        </w:rPr>
        <w:t>;</w:t>
      </w:r>
      <w:r>
        <w:rPr>
          <w:rFonts w:hint="eastAsia" w:ascii="宋体" w:hAnsi="宋体" w:cs="宋体"/>
          <w:color w:val="auto"/>
          <w:sz w:val="28"/>
          <w:szCs w:val="28"/>
          <w:highlight w:val="none"/>
        </w:rPr>
        <w:t>噪声项目符合《工业企业设计卫生标准》</w:t>
      </w:r>
      <w:r>
        <w:rPr>
          <w:rFonts w:ascii="宋体" w:hAnsi="宋体" w:cs="宋体"/>
          <w:color w:val="auto"/>
          <w:sz w:val="28"/>
          <w:szCs w:val="28"/>
          <w:highlight w:val="none"/>
        </w:rPr>
        <w:t>GBZ1-2010</w:t>
      </w:r>
      <w:r>
        <w:rPr>
          <w:rFonts w:hint="eastAsia" w:ascii="宋体" w:hAnsi="宋体" w:cs="宋体"/>
          <w:color w:val="auto"/>
          <w:sz w:val="28"/>
          <w:szCs w:val="28"/>
          <w:highlight w:val="none"/>
        </w:rPr>
        <w:t>的要求。</w:t>
      </w:r>
    </w:p>
    <w:bookmarkEnd w:id="918"/>
    <w:bookmarkEnd w:id="919"/>
    <w:bookmarkEnd w:id="920"/>
    <w:bookmarkEnd w:id="921"/>
    <w:bookmarkEnd w:id="922"/>
    <w:bookmarkEnd w:id="923"/>
    <w:bookmarkEnd w:id="924"/>
    <w:bookmarkEnd w:id="925"/>
    <w:bookmarkEnd w:id="926"/>
    <w:p>
      <w:pPr>
        <w:pStyle w:val="33"/>
        <w:spacing w:line="560" w:lineRule="exact"/>
        <w:ind w:firstLine="31680"/>
        <w:outlineLvl w:val="1"/>
        <w:rPr>
          <w:rFonts w:ascii="宋体" w:cs="宋体"/>
          <w:color w:val="auto"/>
          <w:sz w:val="28"/>
          <w:szCs w:val="28"/>
          <w:highlight w:val="none"/>
          <w:lang w:val="zh-CN"/>
        </w:rPr>
      </w:pPr>
      <w:bookmarkStart w:id="927" w:name="_Toc29508"/>
      <w:bookmarkStart w:id="928" w:name="_Toc17668"/>
      <w:bookmarkStart w:id="929" w:name="_Toc30517"/>
      <w:bookmarkStart w:id="930" w:name="_Toc28078"/>
      <w:bookmarkStart w:id="931" w:name="_Toc27432"/>
      <w:bookmarkStart w:id="932" w:name="_Toc26660"/>
      <w:bookmarkStart w:id="933" w:name="_Toc9367"/>
      <w:bookmarkStart w:id="934" w:name="_Toc26107"/>
      <w:bookmarkStart w:id="935" w:name="_Toc12889"/>
      <w:bookmarkStart w:id="936" w:name="_Toc21289"/>
      <w:bookmarkStart w:id="937" w:name="_Toc18571"/>
      <w:bookmarkStart w:id="938" w:name="_Toc28851"/>
      <w:bookmarkStart w:id="939" w:name="_Toc30305"/>
      <w:bookmarkStart w:id="940" w:name="_Toc28545"/>
      <w:bookmarkStart w:id="941" w:name="_Toc27064"/>
      <w:bookmarkStart w:id="942" w:name="_Toc21277"/>
      <w:bookmarkStart w:id="943" w:name="_Toc14666"/>
      <w:bookmarkStart w:id="944" w:name="_Toc7637"/>
      <w:bookmarkStart w:id="945" w:name="_Toc31022"/>
      <w:bookmarkStart w:id="946" w:name="_Toc105"/>
      <w:bookmarkStart w:id="947" w:name="_Toc25965"/>
      <w:bookmarkStart w:id="948" w:name="_Toc12753"/>
      <w:bookmarkStart w:id="949" w:name="_Toc28472"/>
      <w:bookmarkStart w:id="950" w:name="_Toc15773_WPSOffice_Level2"/>
      <w:bookmarkStart w:id="951" w:name="_Toc13469"/>
      <w:bookmarkStart w:id="952" w:name="_Toc21690_WPSOffice_Level2"/>
      <w:bookmarkStart w:id="953" w:name="_Toc33"/>
      <w:bookmarkStart w:id="954" w:name="_Toc26205"/>
      <w:bookmarkStart w:id="955" w:name="_Toc4820_WPSOffice_Level2"/>
      <w:bookmarkStart w:id="956" w:name="_Toc28251_WPSOffice_Level2"/>
      <w:bookmarkStart w:id="957" w:name="_Toc26194"/>
      <w:bookmarkStart w:id="958" w:name="_Toc4282"/>
      <w:r>
        <w:rPr>
          <w:rFonts w:ascii="宋体" w:hAnsi="宋体" w:cs="宋体"/>
          <w:color w:val="auto"/>
          <w:sz w:val="28"/>
          <w:szCs w:val="28"/>
          <w:highlight w:val="none"/>
          <w:lang w:val="zh-CN"/>
        </w:rPr>
        <w:t>11.2</w:t>
      </w:r>
      <w:r>
        <w:rPr>
          <w:rFonts w:hint="eastAsia" w:ascii="宋体" w:hAnsi="宋体" w:cs="宋体"/>
          <w:color w:val="auto"/>
          <w:sz w:val="28"/>
          <w:szCs w:val="28"/>
          <w:highlight w:val="none"/>
          <w:lang w:val="zh-CN"/>
        </w:rPr>
        <w:t>执行的有关环境保护法律、法规和标准</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《中华人民共和国环境保护法》</w:t>
      </w:r>
      <w:r>
        <w:rPr>
          <w:rFonts w:ascii="宋体" w:hAnsi="宋体" w:cs="宋体"/>
          <w:color w:val="auto"/>
          <w:sz w:val="28"/>
          <w:szCs w:val="28"/>
          <w:highlight w:val="none"/>
          <w:lang w:val="zh-CN"/>
        </w:rPr>
        <w:t>2014</w:t>
      </w:r>
      <w:r>
        <w:rPr>
          <w:rFonts w:hint="eastAsia" w:ascii="宋体" w:hAnsi="宋体" w:cs="宋体"/>
          <w:color w:val="auto"/>
          <w:sz w:val="28"/>
          <w:szCs w:val="28"/>
          <w:highlight w:val="none"/>
          <w:lang w:val="zh-CN"/>
        </w:rPr>
        <w:t>年</w:t>
      </w:r>
      <w:r>
        <w:rPr>
          <w:rFonts w:ascii="宋体" w:hAnsi="宋体" w:cs="宋体"/>
          <w:color w:val="auto"/>
          <w:sz w:val="28"/>
          <w:szCs w:val="28"/>
          <w:highlight w:val="none"/>
          <w:lang w:val="zh-CN"/>
        </w:rPr>
        <w:t>4</w:t>
      </w:r>
      <w:r>
        <w:rPr>
          <w:rFonts w:hint="eastAsia" w:ascii="宋体" w:hAnsi="宋体" w:cs="宋体"/>
          <w:color w:val="auto"/>
          <w:sz w:val="28"/>
          <w:szCs w:val="28"/>
          <w:highlight w:val="none"/>
          <w:lang w:val="zh-CN"/>
        </w:rPr>
        <w:t>月</w:t>
      </w:r>
      <w:r>
        <w:rPr>
          <w:rFonts w:ascii="宋体" w:hAnsi="宋体" w:cs="宋体"/>
          <w:color w:val="auto"/>
          <w:sz w:val="28"/>
          <w:szCs w:val="28"/>
          <w:highlight w:val="none"/>
          <w:lang w:val="zh-CN"/>
        </w:rPr>
        <w:t>24</w:t>
      </w:r>
      <w:r>
        <w:rPr>
          <w:rFonts w:hint="eastAsia" w:ascii="宋体" w:hAnsi="宋体" w:cs="宋体"/>
          <w:color w:val="auto"/>
          <w:sz w:val="28"/>
          <w:szCs w:val="28"/>
          <w:highlight w:val="none"/>
          <w:lang w:val="zh-CN"/>
        </w:rPr>
        <w:t>日修订</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《中华人民共和国大气污染防治法》</w:t>
      </w:r>
      <w:r>
        <w:rPr>
          <w:rFonts w:ascii="宋体" w:hAnsi="宋体" w:cs="宋体"/>
          <w:color w:val="auto"/>
          <w:sz w:val="28"/>
          <w:szCs w:val="28"/>
          <w:highlight w:val="none"/>
          <w:lang w:val="zh-CN"/>
        </w:rPr>
        <w:t>2018</w:t>
      </w:r>
      <w:r>
        <w:rPr>
          <w:rFonts w:hint="eastAsia" w:ascii="宋体" w:hAnsi="宋体" w:cs="宋体"/>
          <w:color w:val="auto"/>
          <w:sz w:val="28"/>
          <w:szCs w:val="28"/>
          <w:highlight w:val="none"/>
          <w:lang w:val="zh-CN"/>
        </w:rPr>
        <w:t>年</w:t>
      </w:r>
      <w:r>
        <w:rPr>
          <w:rFonts w:ascii="宋体" w:hAnsi="宋体" w:cs="宋体"/>
          <w:color w:val="auto"/>
          <w:sz w:val="28"/>
          <w:szCs w:val="28"/>
          <w:highlight w:val="none"/>
          <w:lang w:val="zh-CN"/>
        </w:rPr>
        <w:t>10</w:t>
      </w:r>
      <w:r>
        <w:rPr>
          <w:rFonts w:hint="eastAsia" w:ascii="宋体" w:hAnsi="宋体" w:cs="宋体"/>
          <w:color w:val="auto"/>
          <w:sz w:val="28"/>
          <w:szCs w:val="28"/>
          <w:highlight w:val="none"/>
          <w:lang w:val="zh-CN"/>
        </w:rPr>
        <w:t>月</w:t>
      </w:r>
      <w:r>
        <w:rPr>
          <w:rFonts w:ascii="宋体" w:hAnsi="宋体" w:cs="宋体"/>
          <w:color w:val="auto"/>
          <w:sz w:val="28"/>
          <w:szCs w:val="28"/>
          <w:highlight w:val="none"/>
          <w:lang w:val="zh-CN"/>
        </w:rPr>
        <w:t>26</w:t>
      </w:r>
      <w:r>
        <w:rPr>
          <w:rFonts w:hint="eastAsia" w:ascii="宋体" w:hAnsi="宋体" w:cs="宋体"/>
          <w:color w:val="auto"/>
          <w:sz w:val="28"/>
          <w:szCs w:val="28"/>
          <w:highlight w:val="none"/>
          <w:lang w:val="zh-CN"/>
        </w:rPr>
        <w:t>日修订</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《中华人民共和国水污染防治法》</w:t>
      </w:r>
      <w:r>
        <w:rPr>
          <w:rFonts w:ascii="宋体" w:hAnsi="宋体" w:cs="宋体"/>
          <w:color w:val="auto"/>
          <w:sz w:val="28"/>
          <w:szCs w:val="28"/>
          <w:highlight w:val="none"/>
          <w:lang w:val="zh-CN"/>
        </w:rPr>
        <w:t>2017</w:t>
      </w:r>
      <w:r>
        <w:rPr>
          <w:rFonts w:hint="eastAsia" w:ascii="宋体" w:hAnsi="宋体" w:cs="宋体"/>
          <w:color w:val="auto"/>
          <w:sz w:val="28"/>
          <w:szCs w:val="28"/>
          <w:highlight w:val="none"/>
          <w:lang w:val="zh-CN"/>
        </w:rPr>
        <w:t>年</w:t>
      </w:r>
      <w:r>
        <w:rPr>
          <w:rFonts w:ascii="宋体" w:hAnsi="宋体" w:cs="宋体"/>
          <w:color w:val="auto"/>
          <w:sz w:val="28"/>
          <w:szCs w:val="28"/>
          <w:highlight w:val="none"/>
          <w:lang w:val="zh-CN"/>
        </w:rPr>
        <w:t>6</w:t>
      </w:r>
      <w:r>
        <w:rPr>
          <w:rFonts w:hint="eastAsia" w:ascii="宋体" w:hAnsi="宋体" w:cs="宋体"/>
          <w:color w:val="auto"/>
          <w:sz w:val="28"/>
          <w:szCs w:val="28"/>
          <w:highlight w:val="none"/>
          <w:lang w:val="zh-CN"/>
        </w:rPr>
        <w:t>月</w:t>
      </w:r>
      <w:r>
        <w:rPr>
          <w:rFonts w:ascii="宋体" w:hAnsi="宋体" w:cs="宋体"/>
          <w:color w:val="auto"/>
          <w:sz w:val="28"/>
          <w:szCs w:val="28"/>
          <w:highlight w:val="none"/>
          <w:lang w:val="zh-CN"/>
        </w:rPr>
        <w:t>27</w:t>
      </w:r>
      <w:r>
        <w:rPr>
          <w:rFonts w:hint="eastAsia" w:ascii="宋体" w:hAnsi="宋体" w:cs="宋体"/>
          <w:color w:val="auto"/>
          <w:sz w:val="28"/>
          <w:szCs w:val="28"/>
          <w:highlight w:val="none"/>
          <w:lang w:val="zh-CN"/>
        </w:rPr>
        <w:t>日</w:t>
      </w:r>
      <w:r>
        <w:rPr>
          <w:rFonts w:hint="eastAsia" w:ascii="宋体" w:hAnsi="宋体" w:cs="宋体"/>
          <w:color w:val="auto"/>
          <w:sz w:val="28"/>
          <w:szCs w:val="28"/>
          <w:highlight w:val="none"/>
        </w:rPr>
        <w:t>修订</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《中华人民共和国噪声污染防治法》</w:t>
      </w:r>
      <w:r>
        <w:rPr>
          <w:rFonts w:ascii="宋体" w:hAnsi="宋体" w:cs="宋体"/>
          <w:color w:val="auto"/>
          <w:sz w:val="28"/>
          <w:szCs w:val="28"/>
          <w:highlight w:val="none"/>
        </w:rPr>
        <w:t>2022</w:t>
      </w:r>
      <w:r>
        <w:rPr>
          <w:rFonts w:hint="eastAsia" w:ascii="宋体" w:hAnsi="宋体" w:cs="宋体"/>
          <w:color w:val="auto"/>
          <w:sz w:val="28"/>
          <w:szCs w:val="28"/>
          <w:highlight w:val="none"/>
        </w:rPr>
        <w:t>年</w:t>
      </w:r>
      <w:r>
        <w:rPr>
          <w:rFonts w:ascii="宋体" w:hAnsi="宋体" w:cs="宋体"/>
          <w:color w:val="auto"/>
          <w:sz w:val="28"/>
          <w:szCs w:val="28"/>
          <w:highlight w:val="none"/>
        </w:rPr>
        <w:t>6</w:t>
      </w:r>
      <w:r>
        <w:rPr>
          <w:rFonts w:hint="eastAsia" w:ascii="宋体" w:hAnsi="宋体" w:cs="宋体"/>
          <w:color w:val="auto"/>
          <w:sz w:val="28"/>
          <w:szCs w:val="28"/>
          <w:highlight w:val="none"/>
        </w:rPr>
        <w:t>月</w:t>
      </w:r>
      <w:r>
        <w:rPr>
          <w:rFonts w:ascii="宋体" w:hAnsi="宋体" w:cs="宋体"/>
          <w:color w:val="auto"/>
          <w:sz w:val="28"/>
          <w:szCs w:val="28"/>
          <w:highlight w:val="none"/>
        </w:rPr>
        <w:t>5</w:t>
      </w:r>
      <w:r>
        <w:rPr>
          <w:rFonts w:hint="eastAsia" w:ascii="宋体" w:hAnsi="宋体" w:cs="宋体"/>
          <w:color w:val="auto"/>
          <w:sz w:val="28"/>
          <w:szCs w:val="28"/>
          <w:highlight w:val="none"/>
        </w:rPr>
        <w:t>日施行</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《中华人民共和国固体废物污染环境防治法》</w:t>
      </w:r>
      <w:r>
        <w:rPr>
          <w:rFonts w:ascii="宋体" w:hAnsi="宋体" w:cs="宋体"/>
          <w:color w:val="auto"/>
          <w:sz w:val="28"/>
          <w:szCs w:val="28"/>
          <w:highlight w:val="none"/>
        </w:rPr>
        <w:t>2020</w:t>
      </w:r>
      <w:r>
        <w:rPr>
          <w:rFonts w:hint="eastAsia" w:ascii="宋体" w:hAnsi="宋体" w:cs="宋体"/>
          <w:color w:val="auto"/>
          <w:sz w:val="28"/>
          <w:szCs w:val="28"/>
          <w:highlight w:val="none"/>
        </w:rPr>
        <w:t>年</w:t>
      </w:r>
      <w:r>
        <w:rPr>
          <w:rFonts w:ascii="宋体" w:hAnsi="宋体" w:cs="宋体"/>
          <w:color w:val="auto"/>
          <w:sz w:val="28"/>
          <w:szCs w:val="28"/>
          <w:highlight w:val="none"/>
        </w:rPr>
        <w:t>9</w:t>
      </w:r>
      <w:r>
        <w:rPr>
          <w:rFonts w:hint="eastAsia" w:ascii="宋体" w:hAnsi="宋体" w:cs="宋体"/>
          <w:color w:val="auto"/>
          <w:sz w:val="28"/>
          <w:szCs w:val="28"/>
          <w:highlight w:val="none"/>
        </w:rPr>
        <w:t>月</w:t>
      </w:r>
      <w:r>
        <w:rPr>
          <w:rFonts w:ascii="宋体" w:hAnsi="宋体" w:cs="宋体"/>
          <w:color w:val="auto"/>
          <w:sz w:val="28"/>
          <w:szCs w:val="28"/>
          <w:highlight w:val="none"/>
        </w:rPr>
        <w:t>1</w:t>
      </w:r>
      <w:r>
        <w:rPr>
          <w:rFonts w:hint="eastAsia" w:ascii="宋体" w:hAnsi="宋体" w:cs="宋体"/>
          <w:color w:val="auto"/>
          <w:sz w:val="28"/>
          <w:szCs w:val="28"/>
          <w:highlight w:val="none"/>
        </w:rPr>
        <w:t>日施行</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《中华人民共和国环境影响评价法》</w:t>
      </w:r>
      <w:r>
        <w:rPr>
          <w:rFonts w:ascii="宋体" w:hAnsi="宋体" w:cs="宋体"/>
          <w:color w:val="auto"/>
          <w:sz w:val="28"/>
          <w:szCs w:val="28"/>
          <w:highlight w:val="none"/>
        </w:rPr>
        <w:t>2018</w:t>
      </w:r>
      <w:r>
        <w:rPr>
          <w:rFonts w:hint="eastAsia" w:ascii="宋体" w:hAnsi="宋体" w:cs="宋体"/>
          <w:color w:val="auto"/>
          <w:sz w:val="28"/>
          <w:szCs w:val="28"/>
          <w:highlight w:val="none"/>
        </w:rPr>
        <w:t>年</w:t>
      </w:r>
      <w:r>
        <w:rPr>
          <w:rFonts w:ascii="宋体" w:hAnsi="宋体" w:cs="宋体"/>
          <w:color w:val="auto"/>
          <w:sz w:val="28"/>
          <w:szCs w:val="28"/>
          <w:highlight w:val="none"/>
        </w:rPr>
        <w:t>12</w:t>
      </w:r>
      <w:r>
        <w:rPr>
          <w:rFonts w:hint="eastAsia" w:ascii="宋体" w:hAnsi="宋体" w:cs="宋体"/>
          <w:color w:val="auto"/>
          <w:sz w:val="28"/>
          <w:szCs w:val="28"/>
          <w:highlight w:val="none"/>
        </w:rPr>
        <w:t>月</w:t>
      </w:r>
      <w:r>
        <w:rPr>
          <w:rFonts w:ascii="宋体" w:hAnsi="宋体" w:cs="宋体"/>
          <w:color w:val="auto"/>
          <w:sz w:val="28"/>
          <w:szCs w:val="28"/>
          <w:highlight w:val="none"/>
        </w:rPr>
        <w:t>29</w:t>
      </w:r>
      <w:r>
        <w:rPr>
          <w:rFonts w:hint="eastAsia" w:ascii="宋体" w:hAnsi="宋体" w:cs="宋体"/>
          <w:color w:val="auto"/>
          <w:sz w:val="28"/>
          <w:szCs w:val="28"/>
          <w:highlight w:val="none"/>
        </w:rPr>
        <w:t>日修正</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《中华人民共和国清洁生产促进法》</w:t>
      </w:r>
      <w:r>
        <w:rPr>
          <w:rFonts w:ascii="宋体" w:hAnsi="宋体" w:cs="宋体"/>
          <w:color w:val="auto"/>
          <w:sz w:val="28"/>
          <w:szCs w:val="28"/>
          <w:highlight w:val="none"/>
        </w:rPr>
        <w:t>2012</w:t>
      </w:r>
      <w:r>
        <w:rPr>
          <w:rFonts w:hint="eastAsia" w:ascii="宋体" w:hAnsi="宋体" w:cs="宋体"/>
          <w:color w:val="auto"/>
          <w:sz w:val="28"/>
          <w:szCs w:val="28"/>
          <w:highlight w:val="none"/>
        </w:rPr>
        <w:t>年</w:t>
      </w:r>
      <w:r>
        <w:rPr>
          <w:rFonts w:ascii="宋体" w:hAnsi="宋体" w:cs="宋体"/>
          <w:color w:val="auto"/>
          <w:sz w:val="28"/>
          <w:szCs w:val="28"/>
          <w:highlight w:val="none"/>
        </w:rPr>
        <w:t>2</w:t>
      </w:r>
      <w:r>
        <w:rPr>
          <w:rFonts w:hint="eastAsia" w:ascii="宋体" w:hAnsi="宋体" w:cs="宋体"/>
          <w:color w:val="auto"/>
          <w:sz w:val="28"/>
          <w:szCs w:val="28"/>
          <w:highlight w:val="none"/>
        </w:rPr>
        <w:t>月</w:t>
      </w:r>
      <w:r>
        <w:rPr>
          <w:rFonts w:ascii="宋体" w:hAnsi="宋体" w:cs="宋体"/>
          <w:color w:val="auto"/>
          <w:sz w:val="28"/>
          <w:szCs w:val="28"/>
          <w:highlight w:val="none"/>
        </w:rPr>
        <w:t>29</w:t>
      </w:r>
      <w:r>
        <w:rPr>
          <w:rFonts w:hint="eastAsia" w:ascii="宋体" w:hAnsi="宋体" w:cs="宋体"/>
          <w:color w:val="auto"/>
          <w:sz w:val="28"/>
          <w:szCs w:val="28"/>
          <w:highlight w:val="none"/>
        </w:rPr>
        <w:t>日修正</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《建设项目环境保护管理条例》</w:t>
      </w:r>
      <w:r>
        <w:rPr>
          <w:rFonts w:ascii="宋体" w:hAnsi="宋体" w:cs="宋体"/>
          <w:color w:val="auto"/>
          <w:sz w:val="28"/>
          <w:szCs w:val="28"/>
          <w:highlight w:val="none"/>
        </w:rPr>
        <w:t>2017</w:t>
      </w:r>
      <w:r>
        <w:rPr>
          <w:rFonts w:hint="eastAsia" w:ascii="宋体" w:hAnsi="宋体" w:cs="宋体"/>
          <w:color w:val="auto"/>
          <w:sz w:val="28"/>
          <w:szCs w:val="28"/>
          <w:highlight w:val="none"/>
        </w:rPr>
        <w:t>年</w:t>
      </w:r>
      <w:r>
        <w:rPr>
          <w:rFonts w:ascii="宋体" w:hAnsi="宋体" w:cs="宋体"/>
          <w:color w:val="auto"/>
          <w:sz w:val="28"/>
          <w:szCs w:val="28"/>
          <w:highlight w:val="none"/>
        </w:rPr>
        <w:t>7</w:t>
      </w:r>
      <w:r>
        <w:rPr>
          <w:rFonts w:hint="eastAsia" w:ascii="宋体" w:hAnsi="宋体" w:cs="宋体"/>
          <w:color w:val="auto"/>
          <w:sz w:val="28"/>
          <w:szCs w:val="28"/>
          <w:highlight w:val="none"/>
        </w:rPr>
        <w:t>月</w:t>
      </w:r>
      <w:r>
        <w:rPr>
          <w:rFonts w:ascii="宋体" w:hAnsi="宋体" w:cs="宋体"/>
          <w:color w:val="auto"/>
          <w:sz w:val="28"/>
          <w:szCs w:val="28"/>
          <w:highlight w:val="none"/>
        </w:rPr>
        <w:t>16</w:t>
      </w:r>
      <w:r>
        <w:rPr>
          <w:rFonts w:hint="eastAsia" w:ascii="宋体" w:hAnsi="宋体" w:cs="宋体"/>
          <w:color w:val="auto"/>
          <w:sz w:val="28"/>
          <w:szCs w:val="28"/>
          <w:highlight w:val="none"/>
        </w:rPr>
        <w:t>日修正</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《环境空气质量标准》</w:t>
      </w:r>
      <w:r>
        <w:rPr>
          <w:rFonts w:ascii="宋体" w:hAnsi="宋体" w:cs="宋体"/>
          <w:color w:val="auto"/>
          <w:sz w:val="28"/>
          <w:szCs w:val="28"/>
          <w:highlight w:val="none"/>
        </w:rPr>
        <w:t>GB3095-2012</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《地表水环境质量标准》</w:t>
      </w:r>
      <w:r>
        <w:rPr>
          <w:rFonts w:ascii="宋体" w:hAnsi="宋体" w:cs="宋体"/>
          <w:color w:val="auto"/>
          <w:sz w:val="28"/>
          <w:szCs w:val="28"/>
          <w:highlight w:val="none"/>
        </w:rPr>
        <w:t>GB3838-2002</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《声环境质量标准》</w:t>
      </w:r>
      <w:r>
        <w:rPr>
          <w:rFonts w:ascii="宋体" w:hAnsi="宋体" w:cs="宋体"/>
          <w:color w:val="auto"/>
          <w:sz w:val="28"/>
          <w:szCs w:val="28"/>
          <w:highlight w:val="none"/>
        </w:rPr>
        <w:t>GB3096-2008</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《地下水质量标准》</w:t>
      </w:r>
      <w:r>
        <w:rPr>
          <w:rFonts w:ascii="宋体" w:hAnsi="宋体" w:cs="宋体"/>
          <w:color w:val="auto"/>
          <w:sz w:val="28"/>
          <w:szCs w:val="28"/>
          <w:highlight w:val="none"/>
        </w:rPr>
        <w:t>GB/T14848-2017</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《土壤环境质量</w:t>
      </w:r>
      <w:r>
        <w:rPr>
          <w:rFonts w:ascii="宋体" w:hAnsi="宋体" w:cs="宋体"/>
          <w:color w:val="auto"/>
          <w:sz w:val="28"/>
          <w:szCs w:val="28"/>
          <w:highlight w:val="none"/>
        </w:rPr>
        <w:t xml:space="preserve"> </w:t>
      </w:r>
      <w:r>
        <w:rPr>
          <w:rFonts w:hint="eastAsia" w:ascii="宋体" w:hAnsi="宋体" w:cs="宋体"/>
          <w:color w:val="auto"/>
          <w:sz w:val="28"/>
          <w:szCs w:val="28"/>
          <w:highlight w:val="none"/>
        </w:rPr>
        <w:t>建设用地土壤污染风险管控标准（试行）》</w:t>
      </w:r>
      <w:r>
        <w:rPr>
          <w:rFonts w:ascii="宋体" w:hAnsi="宋体" w:cs="宋体"/>
          <w:color w:val="auto"/>
          <w:sz w:val="28"/>
          <w:szCs w:val="28"/>
          <w:highlight w:val="none"/>
        </w:rPr>
        <w:t>GB 36600-2018</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《大气污染物综合排放标准》</w:t>
      </w:r>
      <w:r>
        <w:rPr>
          <w:rFonts w:ascii="宋体" w:hAnsi="宋体" w:cs="宋体"/>
          <w:color w:val="auto"/>
          <w:sz w:val="28"/>
          <w:szCs w:val="28"/>
          <w:highlight w:val="none"/>
        </w:rPr>
        <w:t>GB16297-1996</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《污水综合排放标准》</w:t>
      </w:r>
      <w:r>
        <w:rPr>
          <w:rFonts w:ascii="宋体" w:hAnsi="宋体" w:cs="宋体"/>
          <w:color w:val="auto"/>
          <w:sz w:val="28"/>
          <w:szCs w:val="28"/>
          <w:highlight w:val="none"/>
        </w:rPr>
        <w:t>GB8978-1996</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《恶臭污染物排放标准》</w:t>
      </w:r>
      <w:r>
        <w:rPr>
          <w:rFonts w:ascii="宋体" w:hAnsi="宋体" w:cs="宋体"/>
          <w:color w:val="auto"/>
          <w:sz w:val="28"/>
          <w:szCs w:val="28"/>
          <w:highlight w:val="none"/>
        </w:rPr>
        <w:t>GB14554-1993</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《工业企业厂界环境噪声排放标准》</w:t>
      </w:r>
      <w:r>
        <w:rPr>
          <w:rFonts w:ascii="宋体" w:hAnsi="宋体" w:cs="宋体"/>
          <w:color w:val="auto"/>
          <w:sz w:val="28"/>
          <w:szCs w:val="28"/>
          <w:highlight w:val="none"/>
        </w:rPr>
        <w:t>GB12348-2008</w:t>
      </w:r>
    </w:p>
    <w:bookmarkEnd w:id="950"/>
    <w:bookmarkEnd w:id="951"/>
    <w:bookmarkEnd w:id="952"/>
    <w:bookmarkEnd w:id="953"/>
    <w:bookmarkEnd w:id="954"/>
    <w:bookmarkEnd w:id="955"/>
    <w:bookmarkEnd w:id="956"/>
    <w:bookmarkEnd w:id="957"/>
    <w:bookmarkEnd w:id="958"/>
    <w:p>
      <w:pPr>
        <w:pStyle w:val="33"/>
        <w:spacing w:line="560" w:lineRule="exact"/>
        <w:ind w:firstLine="31680"/>
        <w:outlineLvl w:val="1"/>
        <w:rPr>
          <w:rFonts w:ascii="宋体" w:cs="宋体"/>
          <w:color w:val="auto"/>
          <w:sz w:val="28"/>
          <w:szCs w:val="28"/>
          <w:highlight w:val="none"/>
        </w:rPr>
      </w:pPr>
      <w:bookmarkStart w:id="959" w:name="_Toc1393"/>
      <w:bookmarkStart w:id="960" w:name="_Toc17999"/>
      <w:bookmarkStart w:id="961" w:name="_Toc23431"/>
      <w:bookmarkStart w:id="962" w:name="_Toc303753625"/>
      <w:bookmarkStart w:id="963" w:name="_Toc304272650"/>
      <w:r>
        <w:rPr>
          <w:rFonts w:ascii="宋体" w:hAnsi="宋体" w:cs="宋体"/>
          <w:color w:val="auto"/>
          <w:sz w:val="28"/>
          <w:szCs w:val="28"/>
          <w:highlight w:val="none"/>
        </w:rPr>
        <w:t>11.3</w:t>
      </w:r>
      <w:r>
        <w:rPr>
          <w:rFonts w:hint="eastAsia" w:ascii="宋体" w:hAnsi="宋体" w:cs="宋体"/>
          <w:color w:val="auto"/>
          <w:sz w:val="28"/>
          <w:szCs w:val="28"/>
          <w:highlight w:val="none"/>
        </w:rPr>
        <w:t>建设项目的主要污染源及污染物处理</w:t>
      </w:r>
      <w:bookmarkEnd w:id="959"/>
      <w:bookmarkEnd w:id="960"/>
      <w:bookmarkEnd w:id="961"/>
    </w:p>
    <w:p>
      <w:pPr>
        <w:pStyle w:val="33"/>
        <w:spacing w:line="560" w:lineRule="exact"/>
        <w:ind w:firstLine="31680"/>
        <w:rPr>
          <w:rFonts w:ascii="宋体" w:cs="宋体"/>
          <w:color w:val="auto"/>
          <w:sz w:val="28"/>
          <w:szCs w:val="28"/>
          <w:highlight w:val="none"/>
          <w:lang w:val="zh-CN"/>
        </w:rPr>
      </w:pPr>
      <w:r>
        <w:rPr>
          <w:rFonts w:ascii="宋体" w:hAnsi="宋体" w:cs="宋体"/>
          <w:color w:val="auto"/>
          <w:sz w:val="28"/>
          <w:szCs w:val="28"/>
          <w:highlight w:val="none"/>
        </w:rPr>
        <w:t>11.3.1</w:t>
      </w:r>
      <w:r>
        <w:rPr>
          <w:rFonts w:hint="eastAsia" w:ascii="宋体" w:hAnsi="宋体" w:cs="宋体"/>
          <w:color w:val="auto"/>
          <w:sz w:val="28"/>
          <w:szCs w:val="28"/>
          <w:highlight w:val="none"/>
          <w:lang w:val="zh-CN"/>
        </w:rPr>
        <w:t>三废处理原则</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1</w:t>
      </w:r>
      <w:r>
        <w:rPr>
          <w:rFonts w:hint="eastAsia" w:ascii="宋体" w:hAnsi="宋体" w:cs="宋体"/>
          <w:color w:val="auto"/>
          <w:sz w:val="28"/>
          <w:szCs w:val="28"/>
          <w:highlight w:val="none"/>
        </w:rPr>
        <w:t>）严格执行国家环保法律法规和规定，坚持环境保护与经济社会发展相协调，经济效益、社会效益和环境效益并重的原则，环境保护实行以防为主，结合治理、化害为利、变废为宝，控、防、治、管并施，使再生能源市场生态建设走上良性发展的轨道。</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2</w:t>
      </w:r>
      <w:r>
        <w:rPr>
          <w:rFonts w:hint="eastAsia" w:ascii="宋体" w:hAnsi="宋体" w:cs="宋体"/>
          <w:color w:val="auto"/>
          <w:sz w:val="28"/>
          <w:szCs w:val="28"/>
          <w:highlight w:val="none"/>
        </w:rPr>
        <w:t>）采用成熟、稳定、实用、经济合理的处理工艺，保证处理效果，节省投资，降低运行成本。</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3</w:t>
      </w:r>
      <w:r>
        <w:rPr>
          <w:rFonts w:hint="eastAsia" w:ascii="宋体" w:hAnsi="宋体" w:cs="宋体"/>
          <w:color w:val="auto"/>
          <w:sz w:val="28"/>
          <w:szCs w:val="28"/>
          <w:highlight w:val="none"/>
        </w:rPr>
        <w:t>）系统运行灵活、管理方便、维修简单，充分考虑操作简便，减少操作劳动强度。</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4</w:t>
      </w:r>
      <w:r>
        <w:rPr>
          <w:rFonts w:hint="eastAsia" w:ascii="宋体" w:hAnsi="宋体" w:cs="宋体"/>
          <w:color w:val="auto"/>
          <w:sz w:val="28"/>
          <w:szCs w:val="28"/>
          <w:highlight w:val="none"/>
        </w:rPr>
        <w:t>）采取有效措施减小对周围环境的影响，合理控制噪声、气味，妥善处理、处置固体废弃物，避免二次污染。</w:t>
      </w:r>
    </w:p>
    <w:p>
      <w:pPr>
        <w:pStyle w:val="33"/>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11.3.2</w:t>
      </w:r>
      <w:bookmarkEnd w:id="962"/>
      <w:bookmarkEnd w:id="963"/>
      <w:r>
        <w:rPr>
          <w:rFonts w:hint="eastAsia" w:ascii="宋体" w:hAnsi="宋体" w:cs="宋体"/>
          <w:color w:val="auto"/>
          <w:sz w:val="28"/>
          <w:szCs w:val="28"/>
          <w:highlight w:val="none"/>
        </w:rPr>
        <w:t>废气</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本项目中氯气在</w:t>
      </w:r>
      <w:r>
        <w:rPr>
          <w:rFonts w:hint="eastAsia" w:ascii="宋体" w:hAnsi="宋体" w:cs="宋体"/>
          <w:color w:val="auto"/>
          <w:sz w:val="28"/>
          <w:szCs w:val="28"/>
          <w:highlight w:val="none"/>
          <w:lang w:val="en-US" w:eastAsia="zh-CN"/>
        </w:rPr>
        <w:t>次氯酸钠反应</w:t>
      </w:r>
      <w:r>
        <w:rPr>
          <w:rFonts w:hint="eastAsia" w:ascii="宋体" w:hAnsi="宋体" w:cs="宋体"/>
          <w:color w:val="auto"/>
          <w:sz w:val="28"/>
          <w:szCs w:val="28"/>
          <w:highlight w:val="none"/>
        </w:rPr>
        <w:t>塔中被过量的碱液逆流接触发生反应，经吸收后剩余的其它尾气通过塔上部的碱封将残余的氯气完全吸收。</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本项目废气主要为氯气中的不凝气，经尾气风机高空排放；符合《烧碱、聚氯乙烯工业污染物排放标准》（</w:t>
      </w:r>
      <w:r>
        <w:rPr>
          <w:rFonts w:ascii="宋体" w:hAnsi="宋体" w:cs="宋体"/>
          <w:color w:val="auto"/>
          <w:sz w:val="28"/>
          <w:szCs w:val="28"/>
          <w:highlight w:val="none"/>
        </w:rPr>
        <w:t>GB15881-2016</w:t>
      </w:r>
      <w:r>
        <w:rPr>
          <w:rFonts w:hint="eastAsia" w:ascii="宋体" w:hAnsi="宋体" w:cs="宋体"/>
          <w:color w:val="auto"/>
          <w:sz w:val="28"/>
          <w:szCs w:val="28"/>
          <w:highlight w:val="none"/>
        </w:rPr>
        <w:t>）。</w:t>
      </w:r>
    </w:p>
    <w:p>
      <w:pPr>
        <w:pStyle w:val="33"/>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11.3.3</w:t>
      </w:r>
      <w:r>
        <w:rPr>
          <w:rFonts w:hint="eastAsia" w:ascii="宋体" w:hAnsi="宋体" w:cs="宋体"/>
          <w:color w:val="auto"/>
          <w:sz w:val="28"/>
          <w:szCs w:val="28"/>
          <w:highlight w:val="none"/>
        </w:rPr>
        <w:t>废水</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本项目不涉及生产性废水，废水主要为检修过程中的地面冲洗水，主要含有碱、油污等。</w:t>
      </w:r>
    </w:p>
    <w:p>
      <w:pPr>
        <w:pStyle w:val="33"/>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11.3.4</w:t>
      </w:r>
      <w:r>
        <w:rPr>
          <w:rFonts w:hint="eastAsia" w:ascii="宋体" w:hAnsi="宋体" w:cs="宋体"/>
          <w:color w:val="auto"/>
          <w:sz w:val="28"/>
          <w:szCs w:val="28"/>
          <w:highlight w:val="none"/>
        </w:rPr>
        <w:t>噪声</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机泵等动力机械产生的噪声，各类介质在管道内流动和排气等产生的噪声，形成对周围环境的影响。</w:t>
      </w:r>
    </w:p>
    <w:p>
      <w:pPr>
        <w:pStyle w:val="32"/>
        <w:spacing w:line="560" w:lineRule="exact"/>
        <w:ind w:firstLine="31680"/>
        <w:jc w:val="left"/>
        <w:outlineLvl w:val="1"/>
        <w:rPr>
          <w:rStyle w:val="43"/>
          <w:rFonts w:ascii="宋体" w:hAnsi="Calibri" w:eastAsia="宋体" w:cs="宋体"/>
          <w:bCs/>
          <w:color w:val="auto"/>
          <w:sz w:val="28"/>
          <w:szCs w:val="28"/>
          <w:highlight w:val="none"/>
        </w:rPr>
      </w:pPr>
      <w:bookmarkStart w:id="964" w:name="_Toc29697_WPSOffice_Level2"/>
      <w:bookmarkStart w:id="965" w:name="_Toc8403"/>
      <w:bookmarkStart w:id="966" w:name="_Toc16339_WPSOffice_Level2"/>
      <w:bookmarkStart w:id="967" w:name="_Toc14237_WPSOffice_Level2"/>
      <w:bookmarkStart w:id="968" w:name="_Toc22311"/>
      <w:bookmarkStart w:id="969" w:name="_Toc1559"/>
      <w:bookmarkStart w:id="970" w:name="_Toc32594"/>
      <w:bookmarkStart w:id="971" w:name="_Toc27616_WPSOffice_Level2"/>
      <w:bookmarkStart w:id="972" w:name="_Toc252646392"/>
      <w:bookmarkStart w:id="973" w:name="_Toc476577730"/>
      <w:r>
        <w:rPr>
          <w:rStyle w:val="43"/>
          <w:rFonts w:ascii="宋体" w:hAnsi="宋体" w:eastAsia="宋体" w:cs="宋体"/>
          <w:bCs/>
          <w:color w:val="auto"/>
          <w:sz w:val="28"/>
          <w:szCs w:val="28"/>
          <w:highlight w:val="none"/>
        </w:rPr>
        <w:t>11.4</w:t>
      </w:r>
      <w:r>
        <w:rPr>
          <w:rStyle w:val="43"/>
          <w:rFonts w:hint="eastAsia" w:ascii="宋体" w:hAnsi="宋体" w:eastAsia="宋体" w:cs="宋体"/>
          <w:bCs/>
          <w:color w:val="auto"/>
          <w:sz w:val="28"/>
          <w:szCs w:val="28"/>
          <w:highlight w:val="none"/>
        </w:rPr>
        <w:t>环境保护治理措施</w:t>
      </w:r>
      <w:bookmarkEnd w:id="964"/>
      <w:bookmarkEnd w:id="965"/>
      <w:bookmarkEnd w:id="966"/>
      <w:bookmarkEnd w:id="967"/>
      <w:bookmarkEnd w:id="968"/>
      <w:bookmarkEnd w:id="969"/>
      <w:bookmarkEnd w:id="970"/>
      <w:bookmarkEnd w:id="971"/>
    </w:p>
    <w:p>
      <w:pPr>
        <w:tabs>
          <w:tab w:val="left" w:pos="6705"/>
        </w:tabs>
        <w:spacing w:line="560" w:lineRule="exact"/>
        <w:ind w:firstLine="560" w:firstLineChars="200"/>
        <w:rPr>
          <w:rFonts w:ascii="宋体" w:cs="宋体"/>
          <w:bCs/>
          <w:color w:val="auto"/>
          <w:sz w:val="28"/>
          <w:szCs w:val="28"/>
          <w:highlight w:val="none"/>
        </w:rPr>
      </w:pPr>
      <w:r>
        <w:rPr>
          <w:rFonts w:hint="eastAsia" w:ascii="宋体" w:hAnsi="宋体" w:cs="宋体"/>
          <w:bCs/>
          <w:color w:val="auto"/>
          <w:sz w:val="28"/>
          <w:szCs w:val="28"/>
          <w:highlight w:val="none"/>
        </w:rPr>
        <w:t>本工程对生产中排放的各类污染物，本着减量、回收利用和妥善处理的原则，最大限度控制污染物的最终排放量，以达到清洁生产和保护环境的目的。</w:t>
      </w:r>
    </w:p>
    <w:p>
      <w:pPr>
        <w:spacing w:line="560" w:lineRule="exact"/>
        <w:ind w:firstLine="560" w:firstLineChars="200"/>
        <w:jc w:val="left"/>
        <w:outlineLvl w:val="3"/>
        <w:rPr>
          <w:rFonts w:ascii="宋体" w:cs="宋体"/>
          <w:color w:val="auto"/>
          <w:sz w:val="28"/>
          <w:szCs w:val="28"/>
          <w:highlight w:val="none"/>
        </w:rPr>
      </w:pPr>
      <w:r>
        <w:rPr>
          <w:rFonts w:ascii="宋体" w:hAnsi="宋体" w:cs="宋体"/>
          <w:color w:val="auto"/>
          <w:sz w:val="28"/>
          <w:szCs w:val="28"/>
          <w:highlight w:val="none"/>
        </w:rPr>
        <w:t xml:space="preserve">11.4.1 </w:t>
      </w:r>
      <w:r>
        <w:rPr>
          <w:rFonts w:hint="eastAsia" w:ascii="宋体" w:hAnsi="宋体" w:cs="宋体"/>
          <w:color w:val="auto"/>
          <w:sz w:val="28"/>
          <w:szCs w:val="28"/>
          <w:highlight w:val="none"/>
        </w:rPr>
        <w:t>废水治理</w:t>
      </w:r>
      <w:bookmarkEnd w:id="972"/>
      <w:bookmarkEnd w:id="973"/>
    </w:p>
    <w:p>
      <w:pPr>
        <w:pStyle w:val="33"/>
        <w:spacing w:line="560" w:lineRule="exact"/>
        <w:ind w:firstLine="31680"/>
        <w:rPr>
          <w:rFonts w:ascii="宋体" w:cs="宋体"/>
          <w:color w:val="auto"/>
          <w:sz w:val="28"/>
          <w:szCs w:val="28"/>
          <w:highlight w:val="none"/>
        </w:rPr>
      </w:pPr>
      <w:bookmarkStart w:id="974" w:name="_Toc476577731"/>
      <w:r>
        <w:rPr>
          <w:rFonts w:hint="eastAsia" w:ascii="宋体" w:hAnsi="宋体" w:cs="宋体"/>
          <w:bCs/>
          <w:color w:val="auto"/>
          <w:sz w:val="28"/>
          <w:szCs w:val="28"/>
          <w:highlight w:val="none"/>
        </w:rPr>
        <w:t>本项目废水实行“清污分流”原则，</w:t>
      </w:r>
      <w:r>
        <w:rPr>
          <w:rFonts w:hint="eastAsia" w:ascii="宋体" w:hAnsi="宋体" w:cs="宋体"/>
          <w:color w:val="auto"/>
          <w:sz w:val="28"/>
          <w:szCs w:val="28"/>
          <w:highlight w:val="none"/>
        </w:rPr>
        <w:t>清净下水和雨水直接排入工厂雨水管网。检修废水、生活污水和初期雨水送公司现有污水处理装置。</w:t>
      </w:r>
    </w:p>
    <w:p>
      <w:pPr>
        <w:spacing w:line="560" w:lineRule="exact"/>
        <w:ind w:firstLine="560" w:firstLineChars="200"/>
        <w:jc w:val="left"/>
        <w:outlineLvl w:val="3"/>
        <w:rPr>
          <w:rFonts w:ascii="宋体" w:cs="宋体"/>
          <w:color w:val="auto"/>
          <w:sz w:val="28"/>
          <w:szCs w:val="28"/>
          <w:highlight w:val="none"/>
        </w:rPr>
      </w:pPr>
      <w:r>
        <w:rPr>
          <w:rFonts w:ascii="宋体" w:hAnsi="宋体" w:cs="宋体"/>
          <w:color w:val="auto"/>
          <w:sz w:val="28"/>
          <w:szCs w:val="28"/>
          <w:highlight w:val="none"/>
        </w:rPr>
        <w:t>11.4.2</w:t>
      </w:r>
      <w:r>
        <w:rPr>
          <w:rFonts w:hint="eastAsia" w:ascii="宋体" w:hAnsi="宋体" w:cs="宋体"/>
          <w:color w:val="auto"/>
          <w:sz w:val="28"/>
          <w:szCs w:val="28"/>
          <w:highlight w:val="none"/>
        </w:rPr>
        <w:t>噪声的防治</w:t>
      </w:r>
      <w:bookmarkEnd w:id="974"/>
    </w:p>
    <w:p>
      <w:pPr>
        <w:spacing w:line="560" w:lineRule="exact"/>
        <w:ind w:firstLine="560" w:firstLineChars="200"/>
        <w:jc w:val="left"/>
        <w:outlineLvl w:val="3"/>
        <w:rPr>
          <w:rFonts w:ascii="宋体" w:cs="宋体"/>
          <w:color w:val="auto"/>
          <w:sz w:val="28"/>
          <w:szCs w:val="28"/>
          <w:highlight w:val="none"/>
        </w:rPr>
      </w:pPr>
      <w:r>
        <w:rPr>
          <w:rFonts w:hint="eastAsia" w:ascii="宋体" w:hAnsi="宋体" w:cs="宋体"/>
          <w:color w:val="auto"/>
          <w:sz w:val="28"/>
          <w:szCs w:val="28"/>
          <w:highlight w:val="none"/>
        </w:rPr>
        <w:t>项目运行后，会产生一定的噪声源。因此，需要从以下几个方面采取控制噪声危害的措施。</w:t>
      </w:r>
    </w:p>
    <w:p>
      <w:pPr>
        <w:tabs>
          <w:tab w:val="left" w:pos="630"/>
        </w:tabs>
        <w:spacing w:line="560" w:lineRule="exact"/>
        <w:ind w:firstLine="560" w:firstLineChars="200"/>
        <w:textAlignment w:val="center"/>
        <w:rPr>
          <w:rFonts w:ascii="宋体" w:cs="宋体"/>
          <w:bCs/>
          <w:color w:val="auto"/>
          <w:sz w:val="28"/>
          <w:szCs w:val="28"/>
          <w:highlight w:val="none"/>
        </w:rPr>
      </w:pPr>
      <w:bookmarkStart w:id="975" w:name="_Toc303753631"/>
      <w:bookmarkStart w:id="976" w:name="_Toc3446"/>
      <w:bookmarkStart w:id="977" w:name="_Toc10486"/>
      <w:bookmarkStart w:id="978" w:name="_Toc304272656"/>
      <w:bookmarkStart w:id="979" w:name="_Toc476577735"/>
      <w:r>
        <w:rPr>
          <w:rFonts w:hint="eastAsia" w:ascii="宋体" w:hAnsi="宋体" w:cs="宋体"/>
          <w:bCs/>
          <w:color w:val="auto"/>
          <w:sz w:val="28"/>
          <w:szCs w:val="28"/>
          <w:highlight w:val="none"/>
        </w:rPr>
        <w:t>设计中采用下列治理措施：</w:t>
      </w:r>
    </w:p>
    <w:p>
      <w:pPr>
        <w:tabs>
          <w:tab w:val="left" w:pos="630"/>
        </w:tabs>
        <w:spacing w:line="560" w:lineRule="exact"/>
        <w:ind w:firstLine="560" w:firstLineChars="200"/>
        <w:textAlignment w:val="center"/>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1</w:t>
      </w:r>
      <w:r>
        <w:rPr>
          <w:rFonts w:hint="eastAsia" w:ascii="宋体" w:hAnsi="宋体" w:cs="宋体"/>
          <w:bCs/>
          <w:color w:val="auto"/>
          <w:sz w:val="28"/>
          <w:szCs w:val="28"/>
          <w:highlight w:val="none"/>
        </w:rPr>
        <w:t>）噪声源治理。采用低噪音设备，风机的基础采取隔震措施；进出口管道设消声器，管道采用软性接头；选用低噪声设备。</w:t>
      </w:r>
    </w:p>
    <w:p>
      <w:pPr>
        <w:tabs>
          <w:tab w:val="left" w:pos="630"/>
        </w:tabs>
        <w:spacing w:line="560" w:lineRule="exact"/>
        <w:ind w:firstLine="560" w:firstLineChars="200"/>
        <w:textAlignment w:val="center"/>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）隔声措施。操作室与声源隔开，在建筑结构上考虑隔声、吸声处理，使生产室内噪声降低至</w:t>
      </w:r>
      <w:r>
        <w:rPr>
          <w:rFonts w:ascii="宋体" w:hAnsi="宋体" w:cs="宋体"/>
          <w:bCs/>
          <w:color w:val="auto"/>
          <w:sz w:val="28"/>
          <w:szCs w:val="28"/>
          <w:highlight w:val="none"/>
        </w:rPr>
        <w:t>90 dB</w:t>
      </w:r>
      <w:r>
        <w:rPr>
          <w:rFonts w:hint="eastAsia" w:ascii="宋体" w:hAnsi="宋体" w:cs="宋体"/>
          <w:bCs/>
          <w:color w:val="auto"/>
          <w:sz w:val="28"/>
          <w:szCs w:val="28"/>
          <w:highlight w:val="none"/>
        </w:rPr>
        <w:t>（</w:t>
      </w:r>
      <w:r>
        <w:rPr>
          <w:rFonts w:ascii="宋体" w:hAnsi="宋体" w:cs="宋体"/>
          <w:bCs/>
          <w:color w:val="auto"/>
          <w:sz w:val="28"/>
          <w:szCs w:val="28"/>
          <w:highlight w:val="none"/>
        </w:rPr>
        <w:t>A</w:t>
      </w:r>
      <w:r>
        <w:rPr>
          <w:rFonts w:hint="eastAsia" w:ascii="宋体" w:hAnsi="宋体" w:cs="宋体"/>
          <w:bCs/>
          <w:color w:val="auto"/>
          <w:sz w:val="28"/>
          <w:szCs w:val="28"/>
          <w:highlight w:val="none"/>
        </w:rPr>
        <w:t>）。</w:t>
      </w:r>
    </w:p>
    <w:p>
      <w:pPr>
        <w:spacing w:line="560" w:lineRule="exact"/>
        <w:ind w:firstLine="560" w:firstLineChars="200"/>
        <w:jc w:val="left"/>
        <w:rPr>
          <w:rStyle w:val="43"/>
          <w:rFonts w:ascii="宋体" w:hAnsi="Calibri" w:eastAsia="宋体" w:cs="宋体"/>
          <w:bCs/>
          <w:color w:val="auto"/>
          <w:sz w:val="28"/>
          <w:szCs w:val="28"/>
          <w:highlight w:val="none"/>
        </w:rPr>
      </w:pPr>
      <w:r>
        <w:rPr>
          <w:rFonts w:hint="eastAsia" w:ascii="宋体" w:hAnsi="宋体" w:cs="宋体"/>
          <w:bCs/>
          <w:color w:val="auto"/>
          <w:sz w:val="28"/>
          <w:szCs w:val="28"/>
          <w:highlight w:val="none"/>
        </w:rPr>
        <w:t>采取以上措施，环境噪声强度可大为降低。生产场所可低于</w:t>
      </w:r>
      <w:r>
        <w:rPr>
          <w:rFonts w:ascii="宋体" w:hAnsi="宋体" w:cs="宋体"/>
          <w:bCs/>
          <w:color w:val="auto"/>
          <w:sz w:val="28"/>
          <w:szCs w:val="28"/>
          <w:highlight w:val="none"/>
        </w:rPr>
        <w:t>90 dB</w:t>
      </w:r>
      <w:r>
        <w:rPr>
          <w:rFonts w:hint="eastAsia" w:ascii="宋体" w:hAnsi="宋体" w:cs="宋体"/>
          <w:bCs/>
          <w:color w:val="auto"/>
          <w:sz w:val="28"/>
          <w:szCs w:val="28"/>
          <w:highlight w:val="none"/>
        </w:rPr>
        <w:t>（</w:t>
      </w:r>
      <w:r>
        <w:rPr>
          <w:rFonts w:ascii="宋体" w:hAnsi="宋体" w:cs="宋体"/>
          <w:bCs/>
          <w:color w:val="auto"/>
          <w:sz w:val="28"/>
          <w:szCs w:val="28"/>
          <w:highlight w:val="none"/>
        </w:rPr>
        <w:t>A</w:t>
      </w:r>
      <w:r>
        <w:rPr>
          <w:rFonts w:hint="eastAsia" w:ascii="宋体" w:hAnsi="宋体" w:cs="宋体"/>
          <w:bCs/>
          <w:color w:val="auto"/>
          <w:sz w:val="28"/>
          <w:szCs w:val="28"/>
          <w:highlight w:val="none"/>
        </w:rPr>
        <w:t>），厂区边缘昼、夜可分别降至</w:t>
      </w:r>
      <w:r>
        <w:rPr>
          <w:rFonts w:ascii="宋体" w:hAnsi="宋体" w:cs="宋体"/>
          <w:bCs/>
          <w:color w:val="auto"/>
          <w:sz w:val="28"/>
          <w:szCs w:val="28"/>
          <w:highlight w:val="none"/>
        </w:rPr>
        <w:t>60</w:t>
      </w:r>
      <w:r>
        <w:rPr>
          <w:rFonts w:hint="eastAsia" w:ascii="宋体" w:hAnsi="宋体" w:cs="宋体"/>
          <w:bCs/>
          <w:color w:val="auto"/>
          <w:sz w:val="28"/>
          <w:szCs w:val="28"/>
          <w:highlight w:val="none"/>
        </w:rPr>
        <w:t>及</w:t>
      </w:r>
      <w:r>
        <w:rPr>
          <w:rFonts w:ascii="宋体" w:hAnsi="宋体" w:cs="宋体"/>
          <w:bCs/>
          <w:color w:val="auto"/>
          <w:sz w:val="28"/>
          <w:szCs w:val="28"/>
          <w:highlight w:val="none"/>
        </w:rPr>
        <w:t>50 dB</w:t>
      </w:r>
      <w:r>
        <w:rPr>
          <w:rFonts w:hint="eastAsia" w:ascii="宋体" w:hAnsi="宋体" w:cs="宋体"/>
          <w:bCs/>
          <w:color w:val="auto"/>
          <w:sz w:val="28"/>
          <w:szCs w:val="28"/>
          <w:highlight w:val="none"/>
        </w:rPr>
        <w:t>（</w:t>
      </w:r>
      <w:r>
        <w:rPr>
          <w:rFonts w:ascii="宋体" w:hAnsi="宋体" w:cs="宋体"/>
          <w:bCs/>
          <w:color w:val="auto"/>
          <w:sz w:val="28"/>
          <w:szCs w:val="28"/>
          <w:highlight w:val="none"/>
        </w:rPr>
        <w:t>A</w:t>
      </w:r>
      <w:r>
        <w:rPr>
          <w:rFonts w:hint="eastAsia" w:ascii="宋体" w:hAnsi="宋体" w:cs="宋体"/>
          <w:bCs/>
          <w:color w:val="auto"/>
          <w:sz w:val="28"/>
          <w:szCs w:val="28"/>
          <w:highlight w:val="none"/>
        </w:rPr>
        <w:t>）以下。</w:t>
      </w:r>
    </w:p>
    <w:p>
      <w:pPr>
        <w:pStyle w:val="32"/>
        <w:spacing w:line="560" w:lineRule="exact"/>
        <w:ind w:firstLine="31680"/>
        <w:jc w:val="left"/>
        <w:outlineLvl w:val="2"/>
        <w:rPr>
          <w:rFonts w:ascii="宋体" w:cs="宋体"/>
          <w:bCs/>
          <w:color w:val="auto"/>
          <w:sz w:val="28"/>
          <w:szCs w:val="28"/>
          <w:highlight w:val="none"/>
        </w:rPr>
      </w:pPr>
      <w:bookmarkStart w:id="980" w:name="_Toc31786"/>
      <w:r>
        <w:rPr>
          <w:rStyle w:val="43"/>
          <w:rFonts w:ascii="宋体" w:hAnsi="宋体" w:eastAsia="宋体" w:cs="宋体"/>
          <w:bCs/>
          <w:color w:val="auto"/>
          <w:sz w:val="28"/>
          <w:szCs w:val="28"/>
          <w:highlight w:val="none"/>
        </w:rPr>
        <w:t>11.4.3</w:t>
      </w:r>
      <w:r>
        <w:rPr>
          <w:rStyle w:val="43"/>
          <w:rFonts w:hint="eastAsia" w:ascii="宋体" w:hAnsi="宋体" w:eastAsia="宋体" w:cs="宋体"/>
          <w:bCs/>
          <w:color w:val="auto"/>
          <w:sz w:val="28"/>
          <w:szCs w:val="28"/>
          <w:highlight w:val="none"/>
        </w:rPr>
        <w:t>其他环境保护措施</w:t>
      </w:r>
      <w:bookmarkEnd w:id="980"/>
    </w:p>
    <w:p>
      <w:pPr>
        <w:tabs>
          <w:tab w:val="left" w:pos="6705"/>
        </w:tabs>
        <w:spacing w:line="560" w:lineRule="exact"/>
        <w:ind w:firstLine="560" w:firstLineChars="200"/>
        <w:rPr>
          <w:rFonts w:ascii="宋体" w:cs="宋体"/>
          <w:bCs/>
          <w:color w:val="auto"/>
          <w:sz w:val="28"/>
          <w:szCs w:val="28"/>
          <w:highlight w:val="none"/>
        </w:rPr>
      </w:pPr>
      <w:r>
        <w:rPr>
          <w:rFonts w:hint="eastAsia" w:ascii="宋体" w:hAnsi="宋体" w:cs="宋体"/>
          <w:bCs/>
          <w:color w:val="auto"/>
          <w:sz w:val="28"/>
          <w:szCs w:val="28"/>
          <w:highlight w:val="none"/>
        </w:rPr>
        <w:t>生产、生活设施以及仓库应设置相应的消防设施，并预留适当的消防通道。</w:t>
      </w:r>
    </w:p>
    <w:p>
      <w:pPr>
        <w:tabs>
          <w:tab w:val="left" w:pos="6705"/>
        </w:tabs>
        <w:spacing w:line="560" w:lineRule="exact"/>
        <w:ind w:firstLine="560" w:firstLineChars="200"/>
        <w:rPr>
          <w:rFonts w:ascii="宋体" w:cs="宋体"/>
          <w:bCs/>
          <w:color w:val="auto"/>
          <w:sz w:val="28"/>
          <w:szCs w:val="28"/>
          <w:highlight w:val="none"/>
        </w:rPr>
      </w:pPr>
      <w:r>
        <w:rPr>
          <w:rFonts w:hint="eastAsia" w:ascii="宋体" w:hAnsi="宋体" w:cs="宋体"/>
          <w:bCs/>
          <w:color w:val="auto"/>
          <w:sz w:val="28"/>
          <w:szCs w:val="28"/>
          <w:highlight w:val="none"/>
        </w:rPr>
        <w:t>通风、通水、照明以及电气设备的设计安装规范的要求进行设计和施工。</w:t>
      </w:r>
    </w:p>
    <w:p>
      <w:pPr>
        <w:tabs>
          <w:tab w:val="left" w:pos="6705"/>
        </w:tabs>
        <w:spacing w:line="560" w:lineRule="exact"/>
        <w:ind w:firstLine="560" w:firstLineChars="200"/>
        <w:rPr>
          <w:rFonts w:ascii="宋体" w:cs="宋体"/>
          <w:bCs/>
          <w:color w:val="auto"/>
          <w:sz w:val="28"/>
          <w:szCs w:val="28"/>
          <w:highlight w:val="none"/>
        </w:rPr>
      </w:pPr>
      <w:r>
        <w:rPr>
          <w:rFonts w:hint="eastAsia" w:ascii="宋体" w:hAnsi="宋体" w:cs="宋体"/>
          <w:bCs/>
          <w:color w:val="auto"/>
          <w:sz w:val="28"/>
          <w:szCs w:val="28"/>
          <w:highlight w:val="none"/>
        </w:rPr>
        <w:t>建筑物应具有良好的通风、排水设施，对墙壁、门窗等进行耐酸处理。</w:t>
      </w:r>
    </w:p>
    <w:p>
      <w:pPr>
        <w:tabs>
          <w:tab w:val="left" w:pos="6705"/>
        </w:tabs>
        <w:spacing w:line="560" w:lineRule="exact"/>
        <w:ind w:firstLine="560" w:firstLineChars="200"/>
        <w:rPr>
          <w:rFonts w:ascii="宋体" w:cs="宋体"/>
          <w:bCs/>
          <w:color w:val="auto"/>
          <w:sz w:val="28"/>
          <w:szCs w:val="28"/>
          <w:highlight w:val="none"/>
        </w:rPr>
      </w:pPr>
      <w:r>
        <w:rPr>
          <w:rFonts w:hint="eastAsia" w:ascii="宋体" w:hAnsi="宋体" w:cs="宋体"/>
          <w:bCs/>
          <w:color w:val="auto"/>
          <w:sz w:val="28"/>
          <w:szCs w:val="28"/>
          <w:highlight w:val="none"/>
        </w:rPr>
        <w:t>对噪音比较大的通用设备应采取降噪措施，如基础减震、隔震、吸声墙体和顶棚结构、</w:t>
      </w:r>
      <w:r>
        <w:rPr>
          <w:rFonts w:ascii="宋体" w:hAnsi="宋体" w:cs="宋体"/>
          <w:bCs/>
          <w:color w:val="auto"/>
          <w:sz w:val="28"/>
          <w:szCs w:val="28"/>
          <w:highlight w:val="none"/>
        </w:rPr>
        <w:t>GM</w:t>
      </w:r>
      <w:r>
        <w:rPr>
          <w:rFonts w:hint="eastAsia" w:ascii="宋体" w:hAnsi="宋体" w:cs="宋体"/>
          <w:bCs/>
          <w:color w:val="auto"/>
          <w:sz w:val="28"/>
          <w:szCs w:val="28"/>
          <w:highlight w:val="none"/>
        </w:rPr>
        <w:t>标准的门窗等，可以有效地降低噪音带来的危害。</w:t>
      </w:r>
    </w:p>
    <w:p>
      <w:pPr>
        <w:pStyle w:val="32"/>
        <w:spacing w:line="560" w:lineRule="exact"/>
        <w:ind w:firstLine="31680"/>
        <w:jc w:val="left"/>
        <w:outlineLvl w:val="1"/>
        <w:rPr>
          <w:rStyle w:val="43"/>
          <w:rFonts w:ascii="宋体" w:hAnsi="Calibri" w:eastAsia="宋体" w:cs="宋体"/>
          <w:bCs/>
          <w:color w:val="auto"/>
          <w:sz w:val="28"/>
          <w:szCs w:val="28"/>
          <w:highlight w:val="none"/>
        </w:rPr>
      </w:pPr>
      <w:bookmarkStart w:id="981" w:name="_Toc19304"/>
      <w:bookmarkStart w:id="982" w:name="_Toc5887"/>
      <w:bookmarkStart w:id="983" w:name="_Toc8292_WPSOffice_Level2"/>
      <w:bookmarkStart w:id="984" w:name="_Toc22247_WPSOffice_Level2"/>
      <w:bookmarkStart w:id="985" w:name="_Toc12735"/>
      <w:bookmarkStart w:id="986" w:name="_Toc18282_WPSOffice_Level2"/>
      <w:bookmarkStart w:id="987" w:name="_Toc2812_WPSOffice_Level2"/>
      <w:bookmarkStart w:id="988" w:name="_Toc3184"/>
      <w:r>
        <w:rPr>
          <w:rStyle w:val="43"/>
          <w:rFonts w:ascii="宋体" w:hAnsi="宋体" w:eastAsia="宋体" w:cs="宋体"/>
          <w:bCs/>
          <w:color w:val="auto"/>
          <w:sz w:val="28"/>
          <w:szCs w:val="28"/>
          <w:highlight w:val="none"/>
        </w:rPr>
        <w:t>11.5</w:t>
      </w:r>
      <w:bookmarkEnd w:id="981"/>
      <w:bookmarkEnd w:id="982"/>
      <w:bookmarkEnd w:id="983"/>
      <w:bookmarkEnd w:id="984"/>
      <w:bookmarkEnd w:id="985"/>
      <w:bookmarkEnd w:id="986"/>
      <w:bookmarkEnd w:id="987"/>
      <w:r>
        <w:rPr>
          <w:rStyle w:val="43"/>
          <w:rFonts w:ascii="宋体" w:hAnsi="宋体" w:eastAsia="宋体" w:cs="宋体"/>
          <w:bCs/>
          <w:color w:val="auto"/>
          <w:sz w:val="28"/>
          <w:szCs w:val="28"/>
          <w:highlight w:val="none"/>
        </w:rPr>
        <w:t xml:space="preserve"> </w:t>
      </w:r>
      <w:r>
        <w:rPr>
          <w:rStyle w:val="43"/>
          <w:rFonts w:hint="eastAsia" w:ascii="宋体" w:hAnsi="宋体" w:eastAsia="宋体" w:cs="宋体"/>
          <w:bCs/>
          <w:color w:val="auto"/>
          <w:sz w:val="28"/>
          <w:szCs w:val="28"/>
          <w:highlight w:val="none"/>
        </w:rPr>
        <w:t>环境影响分析</w:t>
      </w:r>
      <w:bookmarkEnd w:id="975"/>
      <w:bookmarkEnd w:id="976"/>
      <w:bookmarkEnd w:id="977"/>
      <w:bookmarkEnd w:id="978"/>
      <w:bookmarkEnd w:id="979"/>
      <w:bookmarkEnd w:id="988"/>
    </w:p>
    <w:p>
      <w:pPr>
        <w:pStyle w:val="8"/>
        <w:spacing w:line="560" w:lineRule="exact"/>
        <w:ind w:firstLine="560" w:firstLineChars="200"/>
        <w:outlineLvl w:val="3"/>
        <w:rPr>
          <w:rFonts w:cs="宋体"/>
          <w:color w:val="auto"/>
          <w:highlight w:val="none"/>
        </w:rPr>
      </w:pPr>
      <w:r>
        <w:rPr>
          <w:rFonts w:hint="eastAsia" w:cs="宋体"/>
          <w:b w:val="0"/>
          <w:bCs w:val="0"/>
          <w:color w:val="auto"/>
          <w:highlight w:val="none"/>
        </w:rPr>
        <w:t>本项目位于江苏索普新材料科技有限公司内，产业区基础设施较为完善，环境条件良好。建设单位只要能够严格执行环境保护有关规章制度，项目的运行不会对环境造成新的污染。</w:t>
      </w:r>
    </w:p>
    <w:p>
      <w:pPr>
        <w:rPr>
          <w:rFonts w:ascii="宋体" w:cs="宋体"/>
          <w:color w:val="auto"/>
          <w:highlight w:val="none"/>
        </w:rPr>
      </w:pPr>
    </w:p>
    <w:p>
      <w:pPr>
        <w:pStyle w:val="34"/>
        <w:rPr>
          <w:color w:val="auto"/>
          <w:highlight w:val="none"/>
        </w:rPr>
        <w:sectPr>
          <w:pgSz w:w="11906" w:h="16838"/>
          <w:pgMar w:top="1440" w:right="1800" w:bottom="1440" w:left="1800" w:header="851" w:footer="992" w:gutter="0"/>
          <w:cols w:space="425" w:num="1"/>
          <w:docGrid w:type="lines" w:linePitch="312" w:charSpace="0"/>
        </w:sectPr>
      </w:pPr>
    </w:p>
    <w:p>
      <w:pPr>
        <w:pStyle w:val="2"/>
        <w:spacing w:before="0" w:after="0" w:line="560" w:lineRule="exact"/>
        <w:jc w:val="center"/>
        <w:rPr>
          <w:rFonts w:ascii="宋体" w:cs="宋体"/>
          <w:color w:val="auto"/>
          <w:sz w:val="32"/>
          <w:szCs w:val="32"/>
          <w:highlight w:val="none"/>
          <w:lang w:val="zh-CN"/>
        </w:rPr>
      </w:pPr>
      <w:bookmarkStart w:id="989" w:name="_Toc9249"/>
      <w:bookmarkStart w:id="990" w:name="_Toc5167"/>
      <w:bookmarkStart w:id="991" w:name="_Toc30262"/>
      <w:bookmarkStart w:id="992" w:name="_Toc23867"/>
      <w:bookmarkStart w:id="993" w:name="_Toc19643"/>
      <w:bookmarkStart w:id="994" w:name="_Toc18414"/>
      <w:bookmarkStart w:id="995" w:name="_Toc18170"/>
      <w:bookmarkStart w:id="996" w:name="_Toc21577"/>
      <w:bookmarkStart w:id="997" w:name="_Toc31568"/>
      <w:bookmarkStart w:id="998" w:name="_Toc28439"/>
      <w:bookmarkStart w:id="999" w:name="_Toc5377"/>
      <w:bookmarkStart w:id="1000" w:name="_Toc1972"/>
      <w:bookmarkStart w:id="1001" w:name="_Toc27319"/>
      <w:bookmarkStart w:id="1002" w:name="_Toc12043"/>
      <w:bookmarkStart w:id="1003" w:name="_Toc27152"/>
      <w:r>
        <w:rPr>
          <w:rFonts w:hint="eastAsia" w:ascii="宋体" w:hAnsi="宋体" w:cs="宋体"/>
          <w:color w:val="auto"/>
          <w:sz w:val="32"/>
          <w:szCs w:val="32"/>
          <w:highlight w:val="none"/>
          <w:lang w:val="zh-CN"/>
        </w:rPr>
        <w:t>第十二章</w:t>
      </w:r>
      <w:r>
        <w:rPr>
          <w:rFonts w:ascii="宋体" w:hAnsi="宋体" w:cs="宋体"/>
          <w:color w:val="auto"/>
          <w:sz w:val="32"/>
          <w:szCs w:val="32"/>
          <w:highlight w:val="none"/>
          <w:lang w:val="zh-CN"/>
        </w:rPr>
        <w:t xml:space="preserve"> </w:t>
      </w:r>
      <w:r>
        <w:rPr>
          <w:rFonts w:hint="eastAsia" w:ascii="宋体" w:hAnsi="宋体" w:cs="宋体"/>
          <w:color w:val="auto"/>
          <w:sz w:val="32"/>
          <w:szCs w:val="32"/>
          <w:highlight w:val="none"/>
          <w:lang w:val="zh-CN"/>
        </w:rPr>
        <w:t>职业卫生及安全</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pPr>
        <w:pStyle w:val="33"/>
        <w:spacing w:line="560" w:lineRule="exact"/>
        <w:ind w:firstLine="31680"/>
        <w:outlineLvl w:val="1"/>
        <w:rPr>
          <w:rFonts w:ascii="宋体" w:cs="宋体"/>
          <w:color w:val="auto"/>
          <w:sz w:val="28"/>
          <w:szCs w:val="28"/>
          <w:highlight w:val="none"/>
        </w:rPr>
      </w:pPr>
      <w:bookmarkStart w:id="1004" w:name="_Toc11353"/>
      <w:bookmarkStart w:id="1005" w:name="_Toc25135"/>
      <w:bookmarkStart w:id="1006" w:name="_Toc6254"/>
      <w:bookmarkStart w:id="1007" w:name="_Toc14187"/>
      <w:bookmarkStart w:id="1008" w:name="_Toc3717"/>
      <w:bookmarkStart w:id="1009" w:name="_Toc13156"/>
      <w:bookmarkStart w:id="1010" w:name="_Toc27276"/>
      <w:bookmarkStart w:id="1011" w:name="_Toc20123"/>
      <w:bookmarkStart w:id="1012" w:name="_Toc6331"/>
      <w:bookmarkStart w:id="1013" w:name="_Toc6615"/>
      <w:bookmarkStart w:id="1014" w:name="_Toc4851"/>
      <w:bookmarkStart w:id="1015" w:name="_Toc9599"/>
      <w:bookmarkStart w:id="1016" w:name="_Toc13145"/>
      <w:bookmarkStart w:id="1017" w:name="_Toc4171"/>
      <w:bookmarkStart w:id="1018" w:name="_Toc1351"/>
      <w:bookmarkStart w:id="1019" w:name="_Toc28957"/>
      <w:bookmarkStart w:id="1020" w:name="_Toc7612"/>
      <w:bookmarkStart w:id="1021" w:name="_Toc11092"/>
      <w:bookmarkStart w:id="1022" w:name="_Toc10222"/>
      <w:bookmarkStart w:id="1023" w:name="_Toc3839"/>
      <w:bookmarkStart w:id="1024" w:name="_Toc12701"/>
      <w:r>
        <w:rPr>
          <w:rFonts w:ascii="宋体" w:hAnsi="宋体" w:cs="宋体"/>
          <w:color w:val="auto"/>
          <w:sz w:val="28"/>
          <w:szCs w:val="28"/>
          <w:highlight w:val="none"/>
        </w:rPr>
        <w:t xml:space="preserve">12.1 </w:t>
      </w:r>
      <w:r>
        <w:rPr>
          <w:rFonts w:hint="eastAsia" w:ascii="宋体" w:hAnsi="宋体" w:cs="宋体"/>
          <w:color w:val="auto"/>
          <w:sz w:val="28"/>
          <w:szCs w:val="28"/>
          <w:highlight w:val="none"/>
        </w:rPr>
        <w:t>执行的法律法规、部门规章及标准规范</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p>
    <w:p>
      <w:pPr>
        <w:pStyle w:val="33"/>
        <w:spacing w:line="560" w:lineRule="exact"/>
        <w:ind w:firstLine="31680"/>
        <w:rPr>
          <w:rFonts w:ascii="宋体" w:cs="宋体"/>
          <w:color w:val="auto"/>
          <w:sz w:val="28"/>
          <w:szCs w:val="28"/>
          <w:highlight w:val="none"/>
        </w:rPr>
      </w:pPr>
      <w:bookmarkStart w:id="1025" w:name="_Toc5223"/>
      <w:bookmarkStart w:id="1026" w:name="_Toc11432"/>
      <w:bookmarkStart w:id="1027" w:name="_Toc30941"/>
      <w:bookmarkStart w:id="1028" w:name="_Toc32252"/>
      <w:bookmarkStart w:id="1029" w:name="_Toc5615"/>
      <w:bookmarkStart w:id="1030" w:name="_Toc16741"/>
      <w:bookmarkStart w:id="1031" w:name="_Toc2338"/>
      <w:bookmarkStart w:id="1032" w:name="_Toc15687"/>
      <w:bookmarkStart w:id="1033" w:name="_Toc30853"/>
      <w:bookmarkStart w:id="1034" w:name="_Toc8640"/>
      <w:bookmarkStart w:id="1035" w:name="_Toc7671"/>
      <w:bookmarkStart w:id="1036" w:name="_Toc17395"/>
      <w:bookmarkStart w:id="1037" w:name="_Toc1383"/>
      <w:bookmarkStart w:id="1038" w:name="_Toc29235"/>
      <w:bookmarkStart w:id="1039" w:name="_Toc11663"/>
      <w:bookmarkStart w:id="1040" w:name="_Toc17310"/>
      <w:bookmarkStart w:id="1041" w:name="_Toc29262"/>
      <w:bookmarkStart w:id="1042" w:name="_Toc5235"/>
      <w:bookmarkStart w:id="1043" w:name="_Toc14223"/>
      <w:bookmarkStart w:id="1044" w:name="_Toc29782"/>
      <w:bookmarkStart w:id="1045" w:name="_Toc1626"/>
      <w:bookmarkStart w:id="1046" w:name="_Toc22606"/>
      <w:bookmarkStart w:id="1047" w:name="_Toc18214"/>
      <w:bookmarkStart w:id="1048" w:name="_Toc7541"/>
      <w:bookmarkStart w:id="1049" w:name="_Toc7242"/>
      <w:bookmarkStart w:id="1050" w:name="_Toc14230"/>
      <w:bookmarkStart w:id="1051" w:name="_Toc32078"/>
      <w:bookmarkStart w:id="1052" w:name="_Toc19686"/>
      <w:bookmarkStart w:id="1053" w:name="_Toc6465"/>
      <w:bookmarkStart w:id="1054" w:name="_Toc11569"/>
      <w:bookmarkStart w:id="1055" w:name="_Toc28678"/>
      <w:bookmarkStart w:id="1056" w:name="_Toc23771"/>
      <w:r>
        <w:rPr>
          <w:rFonts w:ascii="宋体" w:hAnsi="宋体" w:cs="宋体"/>
          <w:color w:val="auto"/>
          <w:sz w:val="28"/>
          <w:szCs w:val="28"/>
          <w:highlight w:val="none"/>
        </w:rPr>
        <w:t xml:space="preserve">12.1.1 </w:t>
      </w:r>
      <w:r>
        <w:rPr>
          <w:rFonts w:hint="eastAsia" w:ascii="宋体" w:hAnsi="宋体" w:cs="宋体"/>
          <w:color w:val="auto"/>
          <w:sz w:val="28"/>
          <w:szCs w:val="28"/>
          <w:highlight w:val="none"/>
        </w:rPr>
        <w:t>设计原则</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严格执行国家、地方、行业及企业制定的各项有关安全卫生的标准、规定及规范，做到职业安全卫生与主体工程同时设计、同时施工、同时投入生产和使用。</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选用先进、可靠、安全的工艺流程，尽量减少操作人员的劳动强度，降低体能消耗，保证操作人员的作业和生活环境，满足安全卫生的要求。</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贯彻“安全第一，预防为主”的方针和“生产必须安全、安全为了生产”的设计思想，对生产中易燃、易爆、有毒、有害物质设置必要的防范措施，并实施有效控制，防止事故的发生，实现生产的“安、稳、长、满、优”。</w:t>
      </w:r>
    </w:p>
    <w:p>
      <w:pPr>
        <w:pStyle w:val="33"/>
        <w:spacing w:line="560" w:lineRule="exact"/>
        <w:ind w:firstLine="31680"/>
        <w:rPr>
          <w:rFonts w:ascii="宋体" w:cs="宋体"/>
          <w:color w:val="auto"/>
          <w:sz w:val="28"/>
          <w:szCs w:val="28"/>
          <w:highlight w:val="none"/>
        </w:rPr>
      </w:pPr>
      <w:bookmarkStart w:id="1057" w:name="_Toc15428"/>
      <w:r>
        <w:rPr>
          <w:rFonts w:ascii="宋体" w:hAnsi="宋体" w:cs="宋体"/>
          <w:color w:val="auto"/>
          <w:sz w:val="28"/>
          <w:szCs w:val="28"/>
          <w:highlight w:val="none"/>
        </w:rPr>
        <w:t xml:space="preserve">12.1.2 </w:t>
      </w:r>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r>
        <w:rPr>
          <w:rFonts w:hint="eastAsia" w:ascii="宋体" w:hAnsi="宋体" w:cs="宋体"/>
          <w:color w:val="auto"/>
          <w:sz w:val="28"/>
          <w:szCs w:val="28"/>
          <w:highlight w:val="none"/>
        </w:rPr>
        <w:t>法律法规</w:t>
      </w:r>
      <w:bookmarkEnd w:id="1057"/>
    </w:p>
    <w:p>
      <w:pPr>
        <w:pStyle w:val="33"/>
        <w:spacing w:line="560" w:lineRule="exact"/>
        <w:ind w:firstLine="31680"/>
        <w:rPr>
          <w:rFonts w:ascii="宋体" w:cs="宋体"/>
          <w:color w:val="auto"/>
          <w:sz w:val="28"/>
          <w:szCs w:val="28"/>
          <w:highlight w:val="none"/>
        </w:rPr>
      </w:pPr>
      <w:bookmarkStart w:id="1058" w:name="_Toc4614"/>
      <w:bookmarkStart w:id="1059" w:name="_Toc4808"/>
      <w:bookmarkStart w:id="1060" w:name="_Toc8489"/>
      <w:bookmarkStart w:id="1061" w:name="_Toc28103"/>
      <w:bookmarkStart w:id="1062" w:name="_Toc9855"/>
      <w:bookmarkStart w:id="1063" w:name="_Toc8698"/>
      <w:bookmarkStart w:id="1064" w:name="_Toc22077"/>
      <w:bookmarkStart w:id="1065" w:name="_Toc31633"/>
      <w:bookmarkStart w:id="1066" w:name="_Toc31368"/>
      <w:bookmarkStart w:id="1067" w:name="_Toc25434"/>
      <w:bookmarkStart w:id="1068" w:name="_Toc17822"/>
      <w:bookmarkStart w:id="1069" w:name="_Toc30893"/>
      <w:bookmarkStart w:id="1070" w:name="_Toc6374"/>
      <w:bookmarkStart w:id="1071" w:name="_Toc17300"/>
      <w:bookmarkStart w:id="1072" w:name="_Toc26376"/>
      <w:bookmarkStart w:id="1073" w:name="_Toc6842"/>
      <w:bookmarkStart w:id="1074" w:name="_Toc24517"/>
      <w:bookmarkStart w:id="1075" w:name="_Toc362"/>
      <w:r>
        <w:rPr>
          <w:rFonts w:hint="eastAsia" w:ascii="宋体" w:hAnsi="宋体" w:cs="宋体"/>
          <w:color w:val="auto"/>
          <w:sz w:val="28"/>
          <w:szCs w:val="28"/>
          <w:highlight w:val="none"/>
        </w:rPr>
        <w:t>《中华人民共和国安全生产法》</w:t>
      </w:r>
      <w:r>
        <w:rPr>
          <w:rFonts w:ascii="宋体" w:hAnsi="宋体" w:cs="宋体"/>
          <w:color w:val="auto"/>
          <w:sz w:val="28"/>
          <w:szCs w:val="28"/>
          <w:highlight w:val="none"/>
        </w:rPr>
        <w:t>(2021</w:t>
      </w:r>
      <w:r>
        <w:rPr>
          <w:rFonts w:hint="eastAsia" w:ascii="宋体" w:hAnsi="宋体" w:cs="宋体"/>
          <w:color w:val="auto"/>
          <w:sz w:val="28"/>
          <w:szCs w:val="28"/>
          <w:highlight w:val="none"/>
        </w:rPr>
        <w:t>年</w:t>
      </w:r>
      <w:r>
        <w:rPr>
          <w:rFonts w:ascii="宋体" w:hAnsi="宋体" w:cs="宋体"/>
          <w:color w:val="auto"/>
          <w:sz w:val="28"/>
          <w:szCs w:val="28"/>
          <w:highlight w:val="none"/>
        </w:rPr>
        <w:t>9</w:t>
      </w:r>
      <w:r>
        <w:rPr>
          <w:rFonts w:hint="eastAsia" w:ascii="宋体" w:hAnsi="宋体" w:cs="宋体"/>
          <w:color w:val="auto"/>
          <w:sz w:val="28"/>
          <w:szCs w:val="28"/>
          <w:highlight w:val="none"/>
        </w:rPr>
        <w:t>月</w:t>
      </w:r>
      <w:r>
        <w:rPr>
          <w:rFonts w:ascii="宋体" w:hAnsi="宋体" w:cs="宋体"/>
          <w:color w:val="auto"/>
          <w:sz w:val="28"/>
          <w:szCs w:val="28"/>
          <w:highlight w:val="none"/>
        </w:rPr>
        <w:t>1</w:t>
      </w:r>
      <w:r>
        <w:rPr>
          <w:rFonts w:hint="eastAsia" w:ascii="宋体" w:hAnsi="宋体" w:cs="宋体"/>
          <w:color w:val="auto"/>
          <w:sz w:val="28"/>
          <w:szCs w:val="28"/>
          <w:highlight w:val="none"/>
        </w:rPr>
        <w:t>日起施行</w:t>
      </w:r>
      <w:r>
        <w:rPr>
          <w:rFonts w:ascii="宋体" w:hAnsi="宋体" w:cs="宋体"/>
          <w:color w:val="auto"/>
          <w:sz w:val="28"/>
          <w:szCs w:val="28"/>
          <w:highlight w:val="none"/>
        </w:rPr>
        <w:t>)</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《中华人民共和国劳动法》（</w:t>
      </w:r>
      <w:r>
        <w:rPr>
          <w:rFonts w:ascii="宋体" w:hAnsi="宋体" w:cs="宋体"/>
          <w:color w:val="auto"/>
          <w:sz w:val="28"/>
          <w:szCs w:val="28"/>
          <w:highlight w:val="none"/>
        </w:rPr>
        <w:t>2018</w:t>
      </w:r>
      <w:r>
        <w:rPr>
          <w:rFonts w:hint="eastAsia" w:ascii="宋体" w:hAnsi="宋体" w:cs="宋体"/>
          <w:color w:val="auto"/>
          <w:sz w:val="28"/>
          <w:szCs w:val="28"/>
          <w:highlight w:val="none"/>
        </w:rPr>
        <w:t>年</w:t>
      </w:r>
      <w:r>
        <w:rPr>
          <w:rFonts w:ascii="宋体" w:hAnsi="宋体" w:cs="宋体"/>
          <w:color w:val="auto"/>
          <w:sz w:val="28"/>
          <w:szCs w:val="28"/>
          <w:highlight w:val="none"/>
        </w:rPr>
        <w:t>12</w:t>
      </w:r>
      <w:r>
        <w:rPr>
          <w:rFonts w:hint="eastAsia" w:ascii="宋体" w:hAnsi="宋体" w:cs="宋体"/>
          <w:color w:val="auto"/>
          <w:sz w:val="28"/>
          <w:szCs w:val="28"/>
          <w:highlight w:val="none"/>
        </w:rPr>
        <w:t>月</w:t>
      </w:r>
      <w:r>
        <w:rPr>
          <w:rFonts w:ascii="宋体" w:hAnsi="宋体" w:cs="宋体"/>
          <w:color w:val="auto"/>
          <w:sz w:val="28"/>
          <w:szCs w:val="28"/>
          <w:highlight w:val="none"/>
        </w:rPr>
        <w:t>29</w:t>
      </w:r>
      <w:r>
        <w:rPr>
          <w:rFonts w:hint="eastAsia" w:ascii="宋体" w:hAnsi="宋体" w:cs="宋体"/>
          <w:color w:val="auto"/>
          <w:sz w:val="28"/>
          <w:szCs w:val="28"/>
          <w:highlight w:val="none"/>
        </w:rPr>
        <w:t>日修正）</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《中华人民共和国职业病防治法》</w:t>
      </w:r>
      <w:r>
        <w:rPr>
          <w:rFonts w:ascii="宋体" w:hAnsi="宋体" w:cs="宋体"/>
          <w:color w:val="auto"/>
          <w:sz w:val="28"/>
          <w:szCs w:val="28"/>
          <w:highlight w:val="none"/>
        </w:rPr>
        <w:t>(2018</w:t>
      </w:r>
      <w:r>
        <w:rPr>
          <w:rFonts w:hint="eastAsia" w:ascii="宋体" w:hAnsi="宋体" w:cs="宋体"/>
          <w:color w:val="auto"/>
          <w:sz w:val="28"/>
          <w:szCs w:val="28"/>
          <w:highlight w:val="none"/>
        </w:rPr>
        <w:t>年</w:t>
      </w:r>
      <w:r>
        <w:rPr>
          <w:rFonts w:ascii="宋体" w:hAnsi="宋体" w:cs="宋体"/>
          <w:color w:val="auto"/>
          <w:sz w:val="28"/>
          <w:szCs w:val="28"/>
          <w:highlight w:val="none"/>
        </w:rPr>
        <w:t>12</w:t>
      </w:r>
      <w:r>
        <w:rPr>
          <w:rFonts w:hint="eastAsia" w:ascii="宋体" w:hAnsi="宋体" w:cs="宋体"/>
          <w:color w:val="auto"/>
          <w:sz w:val="28"/>
          <w:szCs w:val="28"/>
          <w:highlight w:val="none"/>
        </w:rPr>
        <w:t>月</w:t>
      </w:r>
      <w:r>
        <w:rPr>
          <w:rFonts w:ascii="宋体" w:hAnsi="宋体" w:cs="宋体"/>
          <w:color w:val="auto"/>
          <w:sz w:val="28"/>
          <w:szCs w:val="28"/>
          <w:highlight w:val="none"/>
        </w:rPr>
        <w:t>29</w:t>
      </w:r>
      <w:r>
        <w:rPr>
          <w:rFonts w:hint="eastAsia" w:ascii="宋体" w:hAnsi="宋体" w:cs="宋体"/>
          <w:color w:val="auto"/>
          <w:sz w:val="28"/>
          <w:szCs w:val="28"/>
          <w:highlight w:val="none"/>
        </w:rPr>
        <w:t>日修正</w:t>
      </w:r>
      <w:r>
        <w:rPr>
          <w:rFonts w:ascii="宋体" w:hAnsi="宋体" w:cs="宋体"/>
          <w:color w:val="auto"/>
          <w:sz w:val="28"/>
          <w:szCs w:val="28"/>
          <w:highlight w:val="none"/>
        </w:rPr>
        <w:t>)</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《中华人民共和国劳动合同法》（</w:t>
      </w:r>
      <w:r>
        <w:rPr>
          <w:rFonts w:ascii="宋体" w:hAnsi="宋体" w:cs="宋体"/>
          <w:color w:val="auto"/>
          <w:sz w:val="28"/>
          <w:szCs w:val="28"/>
          <w:highlight w:val="none"/>
        </w:rPr>
        <w:t>2013</w:t>
      </w:r>
      <w:r>
        <w:rPr>
          <w:rFonts w:hint="eastAsia" w:ascii="宋体" w:hAnsi="宋体" w:cs="宋体"/>
          <w:color w:val="auto"/>
          <w:sz w:val="28"/>
          <w:szCs w:val="28"/>
          <w:highlight w:val="none"/>
        </w:rPr>
        <w:t>年</w:t>
      </w:r>
      <w:r>
        <w:rPr>
          <w:rFonts w:ascii="宋体" w:hAnsi="宋体" w:cs="宋体"/>
          <w:color w:val="auto"/>
          <w:sz w:val="28"/>
          <w:szCs w:val="28"/>
          <w:highlight w:val="none"/>
        </w:rPr>
        <w:t>7</w:t>
      </w:r>
      <w:r>
        <w:rPr>
          <w:rFonts w:hint="eastAsia" w:ascii="宋体" w:hAnsi="宋体" w:cs="宋体"/>
          <w:color w:val="auto"/>
          <w:sz w:val="28"/>
          <w:szCs w:val="28"/>
          <w:highlight w:val="none"/>
        </w:rPr>
        <w:t>月</w:t>
      </w:r>
      <w:r>
        <w:rPr>
          <w:rFonts w:ascii="宋体" w:hAnsi="宋体" w:cs="宋体"/>
          <w:color w:val="auto"/>
          <w:sz w:val="28"/>
          <w:szCs w:val="28"/>
          <w:highlight w:val="none"/>
        </w:rPr>
        <w:t>1</w:t>
      </w:r>
      <w:r>
        <w:rPr>
          <w:rFonts w:hint="eastAsia" w:ascii="宋体" w:hAnsi="宋体" w:cs="宋体"/>
          <w:color w:val="auto"/>
          <w:sz w:val="28"/>
          <w:szCs w:val="28"/>
          <w:highlight w:val="none"/>
        </w:rPr>
        <w:t>日起施行）</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lang w:val="zh-CN"/>
        </w:rPr>
        <w:t>《中华人民共和国清洁生产促进法》</w:t>
      </w:r>
      <w:r>
        <w:rPr>
          <w:rFonts w:ascii="宋体" w:hAnsi="宋体" w:cs="宋体"/>
          <w:color w:val="auto"/>
          <w:sz w:val="28"/>
          <w:szCs w:val="28"/>
          <w:highlight w:val="none"/>
          <w:lang w:val="zh-CN"/>
        </w:rPr>
        <w:t>(2012</w:t>
      </w:r>
      <w:r>
        <w:rPr>
          <w:rFonts w:hint="eastAsia" w:ascii="宋体" w:hAnsi="宋体" w:cs="宋体"/>
          <w:color w:val="auto"/>
          <w:sz w:val="28"/>
          <w:szCs w:val="28"/>
          <w:highlight w:val="none"/>
        </w:rPr>
        <w:t>年</w:t>
      </w:r>
      <w:r>
        <w:rPr>
          <w:rFonts w:ascii="宋体" w:hAnsi="宋体" w:cs="宋体"/>
          <w:color w:val="auto"/>
          <w:sz w:val="28"/>
          <w:szCs w:val="28"/>
          <w:highlight w:val="none"/>
        </w:rPr>
        <w:t>7</w:t>
      </w:r>
      <w:r>
        <w:rPr>
          <w:rFonts w:hint="eastAsia" w:ascii="宋体" w:hAnsi="宋体" w:cs="宋体"/>
          <w:color w:val="auto"/>
          <w:sz w:val="28"/>
          <w:szCs w:val="28"/>
          <w:highlight w:val="none"/>
        </w:rPr>
        <w:t>月</w:t>
      </w:r>
      <w:r>
        <w:rPr>
          <w:rFonts w:ascii="宋体" w:hAnsi="宋体" w:cs="宋体"/>
          <w:color w:val="auto"/>
          <w:sz w:val="28"/>
          <w:szCs w:val="28"/>
          <w:highlight w:val="none"/>
        </w:rPr>
        <w:t>1</w:t>
      </w:r>
      <w:r>
        <w:rPr>
          <w:rFonts w:hint="eastAsia" w:ascii="宋体" w:hAnsi="宋体" w:cs="宋体"/>
          <w:color w:val="auto"/>
          <w:sz w:val="28"/>
          <w:szCs w:val="28"/>
          <w:highlight w:val="none"/>
        </w:rPr>
        <w:t>日起施行</w:t>
      </w:r>
      <w:r>
        <w:rPr>
          <w:rFonts w:ascii="宋体" w:hAnsi="宋体" w:cs="宋体"/>
          <w:color w:val="auto"/>
          <w:sz w:val="28"/>
          <w:szCs w:val="28"/>
          <w:highlight w:val="none"/>
          <w:lang w:val="zh-CN"/>
        </w:rPr>
        <w:t>)</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《建设工程安全生产管理条例》（</w:t>
      </w:r>
      <w:r>
        <w:rPr>
          <w:rFonts w:ascii="宋体" w:hAnsi="宋体" w:cs="宋体"/>
          <w:color w:val="auto"/>
          <w:sz w:val="28"/>
          <w:szCs w:val="28"/>
          <w:highlight w:val="none"/>
          <w:lang w:val="zh-CN"/>
        </w:rPr>
        <w:t>2004</w:t>
      </w:r>
      <w:r>
        <w:rPr>
          <w:rFonts w:hint="eastAsia" w:ascii="宋体" w:hAnsi="宋体" w:cs="宋体"/>
          <w:color w:val="auto"/>
          <w:sz w:val="28"/>
          <w:szCs w:val="28"/>
          <w:highlight w:val="none"/>
          <w:lang w:val="zh-CN"/>
        </w:rPr>
        <w:t>年</w:t>
      </w:r>
      <w:r>
        <w:rPr>
          <w:rFonts w:ascii="宋体" w:hAnsi="宋体" w:cs="宋体"/>
          <w:color w:val="auto"/>
          <w:sz w:val="28"/>
          <w:szCs w:val="28"/>
          <w:highlight w:val="none"/>
          <w:lang w:val="zh-CN"/>
        </w:rPr>
        <w:t>2</w:t>
      </w:r>
      <w:r>
        <w:rPr>
          <w:rFonts w:hint="eastAsia" w:ascii="宋体" w:hAnsi="宋体" w:cs="宋体"/>
          <w:color w:val="auto"/>
          <w:sz w:val="28"/>
          <w:szCs w:val="28"/>
          <w:highlight w:val="none"/>
          <w:lang w:val="zh-CN"/>
        </w:rPr>
        <w:t>月</w:t>
      </w:r>
      <w:r>
        <w:rPr>
          <w:rFonts w:ascii="宋体" w:hAnsi="宋体" w:cs="宋体"/>
          <w:color w:val="auto"/>
          <w:sz w:val="28"/>
          <w:szCs w:val="28"/>
          <w:highlight w:val="none"/>
          <w:lang w:val="zh-CN"/>
        </w:rPr>
        <w:t>1</w:t>
      </w:r>
      <w:r>
        <w:rPr>
          <w:rFonts w:hint="eastAsia" w:ascii="宋体" w:hAnsi="宋体" w:cs="宋体"/>
          <w:color w:val="auto"/>
          <w:sz w:val="28"/>
          <w:szCs w:val="28"/>
          <w:highlight w:val="none"/>
          <w:lang w:val="zh-CN"/>
        </w:rPr>
        <w:t>日施行）</w:t>
      </w:r>
    </w:p>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《生产安全事故报告和调查处理条例》</w:t>
      </w:r>
      <w:r>
        <w:rPr>
          <w:rFonts w:ascii="宋体" w:hAnsi="宋体" w:cs="宋体"/>
          <w:color w:val="auto"/>
          <w:sz w:val="28"/>
          <w:szCs w:val="28"/>
          <w:highlight w:val="none"/>
          <w:lang w:val="zh-CN"/>
        </w:rPr>
        <w:t>(2007</w:t>
      </w:r>
      <w:r>
        <w:rPr>
          <w:rFonts w:hint="eastAsia" w:ascii="宋体" w:hAnsi="宋体" w:cs="宋体"/>
          <w:color w:val="auto"/>
          <w:sz w:val="28"/>
          <w:szCs w:val="28"/>
          <w:highlight w:val="none"/>
          <w:lang w:val="zh-CN"/>
        </w:rPr>
        <w:t>年</w:t>
      </w:r>
      <w:r>
        <w:rPr>
          <w:rFonts w:ascii="宋体" w:hAnsi="宋体" w:cs="宋体"/>
          <w:color w:val="auto"/>
          <w:sz w:val="28"/>
          <w:szCs w:val="28"/>
          <w:highlight w:val="none"/>
          <w:lang w:val="zh-CN"/>
        </w:rPr>
        <w:t>6</w:t>
      </w:r>
      <w:r>
        <w:rPr>
          <w:rFonts w:hint="eastAsia" w:ascii="宋体" w:hAnsi="宋体" w:cs="宋体"/>
          <w:color w:val="auto"/>
          <w:sz w:val="28"/>
          <w:szCs w:val="28"/>
          <w:highlight w:val="none"/>
          <w:lang w:val="zh-CN"/>
        </w:rPr>
        <w:t>月</w:t>
      </w:r>
      <w:r>
        <w:rPr>
          <w:rFonts w:ascii="宋体" w:hAnsi="宋体" w:cs="宋体"/>
          <w:color w:val="auto"/>
          <w:sz w:val="28"/>
          <w:szCs w:val="28"/>
          <w:highlight w:val="none"/>
          <w:lang w:val="zh-CN"/>
        </w:rPr>
        <w:t>1</w:t>
      </w:r>
      <w:r>
        <w:rPr>
          <w:rFonts w:hint="eastAsia" w:ascii="宋体" w:hAnsi="宋体" w:cs="宋体"/>
          <w:color w:val="auto"/>
          <w:sz w:val="28"/>
          <w:szCs w:val="28"/>
          <w:highlight w:val="none"/>
          <w:lang w:val="zh-CN"/>
        </w:rPr>
        <w:t>日起施行</w:t>
      </w:r>
      <w:r>
        <w:rPr>
          <w:rFonts w:ascii="宋体" w:hAnsi="宋体" w:cs="宋体"/>
          <w:color w:val="auto"/>
          <w:sz w:val="28"/>
          <w:szCs w:val="28"/>
          <w:highlight w:val="none"/>
          <w:lang w:val="zh-CN"/>
        </w:rPr>
        <w:t>)</w:t>
      </w:r>
    </w:p>
    <w:p>
      <w:pPr>
        <w:pStyle w:val="33"/>
        <w:spacing w:line="560" w:lineRule="exact"/>
        <w:ind w:firstLine="31680"/>
        <w:rPr>
          <w:rFonts w:ascii="宋体" w:cs="宋体"/>
          <w:color w:val="auto"/>
          <w:sz w:val="28"/>
          <w:szCs w:val="28"/>
          <w:highlight w:val="none"/>
          <w:lang w:val="zh-CN"/>
        </w:rPr>
      </w:pPr>
      <w:bookmarkStart w:id="1076" w:name="_Toc191180557"/>
      <w:bookmarkStart w:id="1077" w:name="_Toc191565175"/>
      <w:bookmarkStart w:id="1078" w:name="_Toc191183833"/>
      <w:bookmarkStart w:id="1079" w:name="_Toc191780566"/>
      <w:r>
        <w:rPr>
          <w:rFonts w:hint="eastAsia" w:ascii="宋体" w:hAnsi="宋体" w:cs="宋体"/>
          <w:color w:val="auto"/>
          <w:sz w:val="28"/>
          <w:szCs w:val="28"/>
          <w:highlight w:val="none"/>
          <w:lang w:val="zh-CN"/>
        </w:rPr>
        <w:t>《女职工劳动保护特别规定》（</w:t>
      </w:r>
      <w:r>
        <w:rPr>
          <w:rFonts w:ascii="宋体" w:hAnsi="宋体" w:cs="宋体"/>
          <w:color w:val="auto"/>
          <w:sz w:val="28"/>
          <w:szCs w:val="28"/>
          <w:highlight w:val="none"/>
          <w:lang w:val="zh-CN"/>
        </w:rPr>
        <w:t>2012</w:t>
      </w:r>
      <w:r>
        <w:rPr>
          <w:rFonts w:hint="eastAsia" w:ascii="宋体" w:hAnsi="宋体" w:cs="宋体"/>
          <w:color w:val="auto"/>
          <w:sz w:val="28"/>
          <w:szCs w:val="28"/>
          <w:highlight w:val="none"/>
          <w:lang w:val="zh-CN"/>
        </w:rPr>
        <w:t>年</w:t>
      </w:r>
      <w:r>
        <w:rPr>
          <w:rFonts w:ascii="宋体" w:hAnsi="宋体" w:cs="宋体"/>
          <w:color w:val="auto"/>
          <w:sz w:val="28"/>
          <w:szCs w:val="28"/>
          <w:highlight w:val="none"/>
          <w:lang w:val="zh-CN"/>
        </w:rPr>
        <w:t>4</w:t>
      </w:r>
      <w:r>
        <w:rPr>
          <w:rFonts w:hint="eastAsia" w:ascii="宋体" w:hAnsi="宋体" w:cs="宋体"/>
          <w:color w:val="auto"/>
          <w:sz w:val="28"/>
          <w:szCs w:val="28"/>
          <w:highlight w:val="none"/>
          <w:lang w:val="zh-CN"/>
        </w:rPr>
        <w:t>月</w:t>
      </w:r>
      <w:r>
        <w:rPr>
          <w:rFonts w:ascii="宋体" w:hAnsi="宋体" w:cs="宋体"/>
          <w:color w:val="auto"/>
          <w:sz w:val="28"/>
          <w:szCs w:val="28"/>
          <w:highlight w:val="none"/>
          <w:lang w:val="zh-CN"/>
        </w:rPr>
        <w:t>28</w:t>
      </w:r>
      <w:r>
        <w:rPr>
          <w:rFonts w:hint="eastAsia" w:ascii="宋体" w:hAnsi="宋体" w:cs="宋体"/>
          <w:color w:val="auto"/>
          <w:sz w:val="28"/>
          <w:szCs w:val="28"/>
          <w:highlight w:val="none"/>
          <w:lang w:val="zh-CN"/>
        </w:rPr>
        <w:t>日起施行）</w:t>
      </w:r>
    </w:p>
    <w:bookmarkEnd w:id="1076"/>
    <w:bookmarkEnd w:id="1077"/>
    <w:bookmarkEnd w:id="1078"/>
    <w:bookmarkEnd w:id="1079"/>
    <w:p>
      <w:pPr>
        <w:pStyle w:val="33"/>
        <w:spacing w:line="560" w:lineRule="exact"/>
        <w:ind w:firstLine="31680"/>
        <w:rPr>
          <w:rFonts w:ascii="宋体" w:cs="宋体"/>
          <w:color w:val="auto"/>
          <w:sz w:val="28"/>
          <w:szCs w:val="28"/>
          <w:highlight w:val="none"/>
          <w:lang w:val="zh-CN"/>
        </w:rPr>
      </w:pPr>
      <w:r>
        <w:rPr>
          <w:rFonts w:hint="eastAsia" w:ascii="宋体" w:hAnsi="宋体" w:cs="宋体"/>
          <w:color w:val="auto"/>
          <w:sz w:val="28"/>
          <w:szCs w:val="28"/>
          <w:highlight w:val="none"/>
          <w:lang w:val="zh-CN"/>
        </w:rPr>
        <w:t>《安全生产培训管理办法》</w:t>
      </w:r>
      <w:r>
        <w:rPr>
          <w:rFonts w:ascii="宋体" w:hAnsi="宋体" w:cs="宋体"/>
          <w:color w:val="auto"/>
          <w:sz w:val="28"/>
          <w:szCs w:val="28"/>
          <w:highlight w:val="none"/>
          <w:lang w:val="zh-CN"/>
        </w:rPr>
        <w:t xml:space="preserve"> (2015</w:t>
      </w:r>
      <w:r>
        <w:rPr>
          <w:rFonts w:hint="eastAsia" w:ascii="宋体" w:hAnsi="宋体" w:cs="宋体"/>
          <w:color w:val="auto"/>
          <w:sz w:val="28"/>
          <w:szCs w:val="28"/>
          <w:highlight w:val="none"/>
          <w:lang w:val="zh-CN"/>
        </w:rPr>
        <w:t>年</w:t>
      </w:r>
      <w:r>
        <w:rPr>
          <w:rFonts w:ascii="宋体" w:hAnsi="宋体" w:cs="宋体"/>
          <w:color w:val="auto"/>
          <w:sz w:val="28"/>
          <w:szCs w:val="28"/>
          <w:highlight w:val="none"/>
          <w:lang w:val="zh-CN"/>
        </w:rPr>
        <w:t>7</w:t>
      </w:r>
      <w:r>
        <w:rPr>
          <w:rFonts w:hint="eastAsia" w:ascii="宋体" w:hAnsi="宋体" w:cs="宋体"/>
          <w:color w:val="auto"/>
          <w:sz w:val="28"/>
          <w:szCs w:val="28"/>
          <w:highlight w:val="none"/>
          <w:lang w:val="zh-CN"/>
        </w:rPr>
        <w:t>月</w:t>
      </w:r>
      <w:r>
        <w:rPr>
          <w:rFonts w:ascii="宋体" w:hAnsi="宋体" w:cs="宋体"/>
          <w:color w:val="auto"/>
          <w:sz w:val="28"/>
          <w:szCs w:val="28"/>
          <w:highlight w:val="none"/>
          <w:lang w:val="zh-CN"/>
        </w:rPr>
        <w:t>1</w:t>
      </w:r>
      <w:r>
        <w:rPr>
          <w:rFonts w:hint="eastAsia" w:ascii="宋体" w:hAnsi="宋体" w:cs="宋体"/>
          <w:color w:val="auto"/>
          <w:sz w:val="28"/>
          <w:szCs w:val="28"/>
          <w:highlight w:val="none"/>
          <w:lang w:val="zh-CN"/>
        </w:rPr>
        <w:t>日</w:t>
      </w:r>
      <w:r>
        <w:rPr>
          <w:rFonts w:hint="eastAsia" w:ascii="宋体" w:hAnsi="宋体" w:cs="宋体"/>
          <w:color w:val="auto"/>
          <w:sz w:val="28"/>
          <w:szCs w:val="28"/>
          <w:highlight w:val="none"/>
        </w:rPr>
        <w:t>起施行</w:t>
      </w:r>
      <w:r>
        <w:rPr>
          <w:rFonts w:ascii="宋体" w:hAnsi="宋体" w:cs="宋体"/>
          <w:color w:val="auto"/>
          <w:sz w:val="28"/>
          <w:szCs w:val="28"/>
          <w:highlight w:val="none"/>
          <w:lang w:val="zh-CN"/>
        </w:rPr>
        <w:t>)</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《江苏省安全生产条例》</w:t>
      </w:r>
      <w:r>
        <w:rPr>
          <w:rFonts w:ascii="宋体" w:hAnsi="宋体" w:cs="宋体"/>
          <w:color w:val="auto"/>
          <w:sz w:val="28"/>
          <w:szCs w:val="28"/>
          <w:highlight w:val="none"/>
        </w:rPr>
        <w:t>(2023</w:t>
      </w:r>
      <w:r>
        <w:rPr>
          <w:rFonts w:hint="eastAsia" w:ascii="宋体" w:hAnsi="宋体" w:cs="宋体"/>
          <w:color w:val="auto"/>
          <w:sz w:val="28"/>
          <w:szCs w:val="28"/>
          <w:highlight w:val="none"/>
        </w:rPr>
        <w:t>年</w:t>
      </w:r>
      <w:r>
        <w:rPr>
          <w:rFonts w:ascii="宋体" w:hAnsi="宋体" w:cs="宋体"/>
          <w:color w:val="auto"/>
          <w:sz w:val="28"/>
          <w:szCs w:val="28"/>
          <w:highlight w:val="none"/>
          <w:lang w:val="zh-CN"/>
        </w:rPr>
        <w:t>7</w:t>
      </w:r>
      <w:r>
        <w:rPr>
          <w:rFonts w:hint="eastAsia" w:ascii="宋体" w:hAnsi="宋体" w:cs="宋体"/>
          <w:color w:val="auto"/>
          <w:sz w:val="28"/>
          <w:szCs w:val="28"/>
          <w:highlight w:val="none"/>
          <w:lang w:val="zh-CN"/>
        </w:rPr>
        <w:t>月</w:t>
      </w:r>
      <w:r>
        <w:rPr>
          <w:rFonts w:ascii="宋体" w:hAnsi="宋体" w:cs="宋体"/>
          <w:color w:val="auto"/>
          <w:sz w:val="28"/>
          <w:szCs w:val="28"/>
          <w:highlight w:val="none"/>
          <w:lang w:val="zh-CN"/>
        </w:rPr>
        <w:t>1</w:t>
      </w:r>
      <w:r>
        <w:rPr>
          <w:rFonts w:hint="eastAsia" w:ascii="宋体" w:hAnsi="宋体" w:cs="宋体"/>
          <w:color w:val="auto"/>
          <w:sz w:val="28"/>
          <w:szCs w:val="28"/>
          <w:highlight w:val="none"/>
          <w:lang w:val="zh-CN"/>
        </w:rPr>
        <w:t>日</w:t>
      </w:r>
      <w:r>
        <w:rPr>
          <w:rFonts w:hint="eastAsia" w:ascii="宋体" w:hAnsi="宋体" w:cs="宋体"/>
          <w:color w:val="auto"/>
          <w:sz w:val="28"/>
          <w:szCs w:val="28"/>
          <w:highlight w:val="none"/>
        </w:rPr>
        <w:t>起施行</w:t>
      </w:r>
      <w:r>
        <w:rPr>
          <w:rFonts w:ascii="宋体" w:hAnsi="宋体" w:cs="宋体"/>
          <w:color w:val="auto"/>
          <w:sz w:val="28"/>
          <w:szCs w:val="28"/>
          <w:highlight w:val="none"/>
        </w:rPr>
        <w:t>)</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《江苏省劳动保护条例》</w:t>
      </w:r>
      <w:r>
        <w:rPr>
          <w:rFonts w:ascii="宋体" w:hAnsi="宋体" w:cs="宋体"/>
          <w:color w:val="auto"/>
          <w:sz w:val="28"/>
          <w:szCs w:val="28"/>
          <w:highlight w:val="none"/>
        </w:rPr>
        <w:t>(2004</w:t>
      </w:r>
      <w:r>
        <w:rPr>
          <w:rFonts w:hint="eastAsia" w:ascii="宋体" w:hAnsi="宋体" w:cs="宋体"/>
          <w:color w:val="auto"/>
          <w:sz w:val="28"/>
          <w:szCs w:val="28"/>
          <w:highlight w:val="none"/>
        </w:rPr>
        <w:t>年</w:t>
      </w:r>
      <w:r>
        <w:rPr>
          <w:rFonts w:ascii="宋体" w:hAnsi="宋体" w:cs="宋体"/>
          <w:color w:val="auto"/>
          <w:sz w:val="28"/>
          <w:szCs w:val="28"/>
          <w:highlight w:val="none"/>
        </w:rPr>
        <w:t>6</w:t>
      </w:r>
      <w:r>
        <w:rPr>
          <w:rFonts w:hint="eastAsia" w:ascii="宋体" w:hAnsi="宋体" w:cs="宋体"/>
          <w:color w:val="auto"/>
          <w:sz w:val="28"/>
          <w:szCs w:val="28"/>
          <w:highlight w:val="none"/>
        </w:rPr>
        <w:t>月</w:t>
      </w:r>
      <w:r>
        <w:rPr>
          <w:rFonts w:ascii="宋体" w:hAnsi="宋体" w:cs="宋体"/>
          <w:color w:val="auto"/>
          <w:sz w:val="28"/>
          <w:szCs w:val="28"/>
          <w:highlight w:val="none"/>
        </w:rPr>
        <w:t>17</w:t>
      </w:r>
      <w:r>
        <w:rPr>
          <w:rFonts w:hint="eastAsia" w:ascii="宋体" w:hAnsi="宋体" w:cs="宋体"/>
          <w:color w:val="auto"/>
          <w:sz w:val="28"/>
          <w:szCs w:val="28"/>
          <w:highlight w:val="none"/>
        </w:rPr>
        <w:t>日修正</w:t>
      </w:r>
      <w:r>
        <w:rPr>
          <w:rFonts w:ascii="宋体" w:hAnsi="宋体" w:cs="宋体"/>
          <w:color w:val="auto"/>
          <w:sz w:val="28"/>
          <w:szCs w:val="28"/>
          <w:highlight w:val="none"/>
        </w:rPr>
        <w:t>)</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《江苏省职业病防治条例》</w:t>
      </w:r>
      <w:r>
        <w:rPr>
          <w:rFonts w:ascii="宋体" w:hAnsi="宋体" w:cs="宋体"/>
          <w:color w:val="auto"/>
          <w:sz w:val="28"/>
          <w:szCs w:val="28"/>
          <w:highlight w:val="none"/>
        </w:rPr>
        <w:t>(2002</w:t>
      </w:r>
      <w:r>
        <w:rPr>
          <w:rFonts w:hint="eastAsia" w:ascii="宋体" w:hAnsi="宋体" w:cs="宋体"/>
          <w:color w:val="auto"/>
          <w:sz w:val="28"/>
          <w:szCs w:val="28"/>
          <w:highlight w:val="none"/>
        </w:rPr>
        <w:t>年</w:t>
      </w:r>
      <w:r>
        <w:rPr>
          <w:rFonts w:ascii="宋体" w:hAnsi="宋体" w:cs="宋体"/>
          <w:color w:val="auto"/>
          <w:sz w:val="28"/>
          <w:szCs w:val="28"/>
          <w:highlight w:val="none"/>
        </w:rPr>
        <w:t>6</w:t>
      </w:r>
      <w:r>
        <w:rPr>
          <w:rFonts w:hint="eastAsia" w:ascii="宋体" w:hAnsi="宋体" w:cs="宋体"/>
          <w:color w:val="auto"/>
          <w:sz w:val="28"/>
          <w:szCs w:val="28"/>
          <w:highlight w:val="none"/>
        </w:rPr>
        <w:t>月</w:t>
      </w:r>
      <w:r>
        <w:rPr>
          <w:rFonts w:ascii="宋体" w:hAnsi="宋体" w:cs="宋体"/>
          <w:color w:val="auto"/>
          <w:sz w:val="28"/>
          <w:szCs w:val="28"/>
          <w:highlight w:val="none"/>
        </w:rPr>
        <w:t>22</w:t>
      </w:r>
      <w:r>
        <w:rPr>
          <w:rFonts w:hint="eastAsia" w:ascii="宋体" w:hAnsi="宋体" w:cs="宋体"/>
          <w:color w:val="auto"/>
          <w:sz w:val="28"/>
          <w:szCs w:val="28"/>
          <w:highlight w:val="none"/>
        </w:rPr>
        <w:t>日修正</w:t>
      </w:r>
      <w:r>
        <w:rPr>
          <w:rFonts w:ascii="宋体" w:hAnsi="宋体" w:cs="宋体"/>
          <w:color w:val="auto"/>
          <w:sz w:val="28"/>
          <w:szCs w:val="28"/>
          <w:highlight w:val="none"/>
        </w:rPr>
        <w:t>)</w:t>
      </w:r>
    </w:p>
    <w:p>
      <w:pPr>
        <w:pStyle w:val="33"/>
        <w:spacing w:line="560" w:lineRule="exact"/>
        <w:ind w:firstLine="31680"/>
        <w:rPr>
          <w:rFonts w:ascii="宋体" w:cs="宋体"/>
          <w:color w:val="auto"/>
          <w:sz w:val="28"/>
          <w:szCs w:val="28"/>
          <w:highlight w:val="none"/>
        </w:rPr>
      </w:pPr>
      <w:bookmarkStart w:id="1080" w:name="_Toc11567"/>
      <w:r>
        <w:rPr>
          <w:rFonts w:ascii="宋体" w:hAnsi="宋体" w:cs="宋体"/>
          <w:color w:val="auto"/>
          <w:sz w:val="28"/>
          <w:szCs w:val="28"/>
          <w:highlight w:val="none"/>
        </w:rPr>
        <w:t xml:space="preserve">12.1.3 </w:t>
      </w:r>
      <w:r>
        <w:rPr>
          <w:rFonts w:hint="eastAsia" w:ascii="宋体" w:hAnsi="宋体" w:cs="宋体"/>
          <w:color w:val="auto"/>
          <w:sz w:val="28"/>
          <w:szCs w:val="28"/>
          <w:highlight w:val="none"/>
        </w:rPr>
        <w:t>设计采用标准和规范</w:t>
      </w:r>
      <w:bookmarkEnd w:id="1080"/>
    </w:p>
    <w:p>
      <w:pPr>
        <w:spacing w:line="560" w:lineRule="exact"/>
        <w:ind w:firstLine="560" w:firstLineChars="200"/>
        <w:jc w:val="left"/>
        <w:rPr>
          <w:rFonts w:ascii="宋体" w:hAnsi="宋体" w:cs="宋体"/>
          <w:bCs/>
          <w:color w:val="auto"/>
          <w:sz w:val="28"/>
          <w:szCs w:val="28"/>
          <w:highlight w:val="none"/>
        </w:rPr>
      </w:pPr>
      <w:bookmarkStart w:id="1081" w:name="_Toc352328493"/>
      <w:bookmarkStart w:id="1082" w:name="_Toc15148"/>
      <w:bookmarkStart w:id="1083" w:name="_Toc1718"/>
      <w:bookmarkStart w:id="1084" w:name="_Toc31470"/>
      <w:bookmarkStart w:id="1085" w:name="_Toc4147"/>
      <w:r>
        <w:rPr>
          <w:rFonts w:hint="eastAsia" w:ascii="宋体" w:hAnsi="宋体" w:cs="宋体"/>
          <w:bCs/>
          <w:color w:val="auto"/>
          <w:sz w:val="28"/>
          <w:szCs w:val="28"/>
          <w:highlight w:val="none"/>
        </w:rPr>
        <w:t>《化工企业安全卫生设计规范》</w:t>
      </w:r>
      <w:r>
        <w:rPr>
          <w:rFonts w:ascii="宋体" w:hAnsi="宋体" w:cs="宋体"/>
          <w:bCs/>
          <w:color w:val="auto"/>
          <w:sz w:val="28"/>
          <w:szCs w:val="28"/>
          <w:highlight w:val="none"/>
        </w:rPr>
        <w:t>HG20571-2014</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《爆炸和火灾危险环境电力装置设计规范》</w:t>
      </w:r>
      <w:r>
        <w:rPr>
          <w:rFonts w:ascii="宋体" w:hAnsi="宋体" w:cs="宋体"/>
          <w:bCs/>
          <w:color w:val="auto"/>
          <w:sz w:val="28"/>
          <w:szCs w:val="28"/>
          <w:highlight w:val="none"/>
        </w:rPr>
        <w:t>GB50058-2014</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《建筑设计防火规范</w:t>
      </w:r>
      <w:r>
        <w:rPr>
          <w:rFonts w:ascii="宋体" w:hAnsi="宋体" w:cs="宋体"/>
          <w:bCs/>
          <w:color w:val="auto"/>
          <w:sz w:val="28"/>
          <w:szCs w:val="28"/>
          <w:highlight w:val="none"/>
        </w:rPr>
        <w:t>(2018</w:t>
      </w:r>
      <w:r>
        <w:rPr>
          <w:rFonts w:hint="eastAsia" w:ascii="宋体" w:hAnsi="宋体" w:cs="宋体"/>
          <w:bCs/>
          <w:color w:val="auto"/>
          <w:sz w:val="28"/>
          <w:szCs w:val="28"/>
          <w:highlight w:val="none"/>
        </w:rPr>
        <w:t>年版</w:t>
      </w:r>
      <w:r>
        <w:rPr>
          <w:rFonts w:ascii="宋体" w:hAnsi="宋体" w:cs="宋体"/>
          <w:bCs/>
          <w:color w:val="auto"/>
          <w:sz w:val="28"/>
          <w:szCs w:val="28"/>
          <w:highlight w:val="none"/>
        </w:rPr>
        <w:t>)</w:t>
      </w:r>
      <w:r>
        <w:rPr>
          <w:rFonts w:hint="eastAsia" w:ascii="宋体" w:hAnsi="宋体" w:cs="宋体"/>
          <w:bCs/>
          <w:color w:val="auto"/>
          <w:sz w:val="28"/>
          <w:szCs w:val="28"/>
          <w:highlight w:val="none"/>
        </w:rPr>
        <w:t>》</w:t>
      </w:r>
      <w:r>
        <w:rPr>
          <w:rFonts w:ascii="宋体" w:hAnsi="宋体" w:cs="宋体"/>
          <w:bCs/>
          <w:color w:val="auto"/>
          <w:sz w:val="28"/>
          <w:szCs w:val="28"/>
          <w:highlight w:val="none"/>
        </w:rPr>
        <w:t>GB50016-2014</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《化工企业静电接地设计规程》</w:t>
      </w:r>
      <w:r>
        <w:rPr>
          <w:rFonts w:ascii="宋体" w:hAnsi="宋体" w:cs="宋体"/>
          <w:bCs/>
          <w:color w:val="auto"/>
          <w:sz w:val="28"/>
          <w:szCs w:val="28"/>
          <w:highlight w:val="none"/>
        </w:rPr>
        <w:t>HG/T20675-1990</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《建筑物防雷设计设计规范》</w:t>
      </w:r>
      <w:r>
        <w:rPr>
          <w:rFonts w:ascii="宋体" w:hAnsi="宋体" w:cs="宋体"/>
          <w:bCs/>
          <w:color w:val="auto"/>
          <w:sz w:val="28"/>
          <w:szCs w:val="28"/>
          <w:highlight w:val="none"/>
        </w:rPr>
        <w:t>GB50057-2010</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《化工建设项目噪声控制设计规定》</w:t>
      </w:r>
      <w:r>
        <w:rPr>
          <w:rFonts w:ascii="宋体" w:hAnsi="宋体" w:cs="宋体"/>
          <w:bCs/>
          <w:color w:val="auto"/>
          <w:sz w:val="28"/>
          <w:szCs w:val="28"/>
          <w:highlight w:val="none"/>
        </w:rPr>
        <w:t>HG20503-1992</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《化工企业照明设计技术规定》</w:t>
      </w:r>
      <w:r>
        <w:rPr>
          <w:rFonts w:ascii="宋体" w:hAnsi="宋体" w:cs="宋体"/>
          <w:bCs/>
          <w:color w:val="auto"/>
          <w:sz w:val="28"/>
          <w:szCs w:val="28"/>
          <w:highlight w:val="none"/>
        </w:rPr>
        <w:t>HG/T20586-1996</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《工作场所有害因素职业接触限值第</w:t>
      </w:r>
      <w:r>
        <w:rPr>
          <w:rFonts w:ascii="宋体" w:hAnsi="宋体" w:cs="宋体"/>
          <w:bCs/>
          <w:color w:val="auto"/>
          <w:sz w:val="28"/>
          <w:szCs w:val="28"/>
          <w:highlight w:val="none"/>
        </w:rPr>
        <w:t>1</w:t>
      </w:r>
      <w:r>
        <w:rPr>
          <w:rFonts w:hint="eastAsia" w:ascii="宋体" w:hAnsi="宋体" w:cs="宋体"/>
          <w:bCs/>
          <w:color w:val="auto"/>
          <w:sz w:val="28"/>
          <w:szCs w:val="28"/>
          <w:highlight w:val="none"/>
        </w:rPr>
        <w:t>部分：化学有害因素》</w:t>
      </w:r>
      <w:r>
        <w:rPr>
          <w:rFonts w:ascii="宋体" w:hAnsi="宋体" w:cs="宋体"/>
          <w:bCs/>
          <w:color w:val="auto"/>
          <w:sz w:val="28"/>
          <w:szCs w:val="28"/>
          <w:highlight w:val="none"/>
        </w:rPr>
        <w:t>GBZ2.1-2019</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《工作场所有害因素职业接触限值</w:t>
      </w:r>
      <w:r>
        <w:rPr>
          <w:rFonts w:ascii="宋体" w:hAnsi="宋体" w:cs="宋体"/>
          <w:bCs/>
          <w:color w:val="auto"/>
          <w:sz w:val="28"/>
          <w:szCs w:val="28"/>
          <w:highlight w:val="none"/>
        </w:rPr>
        <w:t xml:space="preserve"> </w:t>
      </w:r>
      <w:r>
        <w:rPr>
          <w:rFonts w:hint="eastAsia" w:ascii="宋体" w:hAnsi="宋体" w:cs="宋体"/>
          <w:bCs/>
          <w:color w:val="auto"/>
          <w:sz w:val="28"/>
          <w:szCs w:val="28"/>
          <w:highlight w:val="none"/>
        </w:rPr>
        <w:t>第</w:t>
      </w:r>
      <w:r>
        <w:rPr>
          <w:rFonts w:ascii="宋体" w:hAnsi="宋体" w:cs="宋体"/>
          <w:bCs/>
          <w:color w:val="auto"/>
          <w:sz w:val="28"/>
          <w:szCs w:val="28"/>
          <w:highlight w:val="none"/>
        </w:rPr>
        <w:t>2</w:t>
      </w:r>
      <w:r>
        <w:rPr>
          <w:rFonts w:hint="eastAsia" w:ascii="宋体" w:hAnsi="宋体" w:cs="宋体"/>
          <w:bCs/>
          <w:color w:val="auto"/>
          <w:sz w:val="28"/>
          <w:szCs w:val="28"/>
          <w:highlight w:val="none"/>
        </w:rPr>
        <w:t>部分</w:t>
      </w:r>
      <w:r>
        <w:rPr>
          <w:rFonts w:ascii="宋体" w:hAnsi="宋体" w:cs="宋体"/>
          <w:bCs/>
          <w:color w:val="auto"/>
          <w:sz w:val="28"/>
          <w:szCs w:val="28"/>
          <w:highlight w:val="none"/>
        </w:rPr>
        <w:t>:</w:t>
      </w:r>
      <w:r>
        <w:rPr>
          <w:rFonts w:hint="eastAsia" w:ascii="宋体" w:hAnsi="宋体" w:cs="宋体"/>
          <w:bCs/>
          <w:color w:val="auto"/>
          <w:sz w:val="28"/>
          <w:szCs w:val="28"/>
          <w:highlight w:val="none"/>
        </w:rPr>
        <w:t>物理因素》</w:t>
      </w:r>
      <w:r>
        <w:rPr>
          <w:rFonts w:ascii="宋体" w:hAnsi="宋体" w:cs="宋体"/>
          <w:bCs/>
          <w:color w:val="auto"/>
          <w:sz w:val="28"/>
          <w:szCs w:val="28"/>
          <w:highlight w:val="none"/>
        </w:rPr>
        <w:t>GBZ 2.2-2007</w:t>
      </w:r>
    </w:p>
    <w:p>
      <w:pPr>
        <w:spacing w:line="560" w:lineRule="exact"/>
        <w:ind w:firstLine="560" w:firstLineChars="200"/>
        <w:jc w:val="left"/>
        <w:rPr>
          <w:rFonts w:ascii="宋体" w:hAnsi="宋体" w:cs="宋体"/>
          <w:bCs/>
          <w:color w:val="auto"/>
          <w:sz w:val="28"/>
          <w:szCs w:val="28"/>
          <w:highlight w:val="none"/>
        </w:rPr>
      </w:pPr>
      <w:r>
        <w:rPr>
          <w:rFonts w:hint="eastAsia" w:ascii="宋体" w:hAnsi="宋体" w:cs="宋体"/>
          <w:bCs/>
          <w:color w:val="auto"/>
          <w:sz w:val="28"/>
          <w:szCs w:val="28"/>
          <w:highlight w:val="none"/>
        </w:rPr>
        <w:t>《工业企业设计卫生标准》</w:t>
      </w:r>
      <w:r>
        <w:rPr>
          <w:rFonts w:ascii="宋体" w:hAnsi="宋体" w:cs="宋体"/>
          <w:bCs/>
          <w:color w:val="auto"/>
          <w:sz w:val="28"/>
          <w:szCs w:val="28"/>
          <w:highlight w:val="none"/>
        </w:rPr>
        <w:t>GBZ1-2010</w:t>
      </w:r>
    </w:p>
    <w:p>
      <w:pPr>
        <w:pStyle w:val="33"/>
        <w:spacing w:line="560" w:lineRule="exact"/>
        <w:ind w:firstLine="31680"/>
        <w:outlineLvl w:val="1"/>
        <w:rPr>
          <w:rFonts w:ascii="宋体" w:cs="宋体"/>
          <w:color w:val="auto"/>
          <w:sz w:val="28"/>
          <w:szCs w:val="28"/>
          <w:highlight w:val="none"/>
          <w:lang w:val="zh-CN"/>
        </w:rPr>
      </w:pPr>
      <w:bookmarkStart w:id="1086" w:name="_Toc22185"/>
      <w:r>
        <w:rPr>
          <w:rFonts w:ascii="宋体" w:hAnsi="宋体" w:cs="宋体"/>
          <w:color w:val="auto"/>
          <w:sz w:val="28"/>
          <w:szCs w:val="28"/>
          <w:highlight w:val="none"/>
          <w:lang w:val="zh-CN"/>
        </w:rPr>
        <w:t xml:space="preserve">12.2 </w:t>
      </w:r>
      <w:r>
        <w:rPr>
          <w:rFonts w:hint="eastAsia" w:ascii="宋体" w:hAnsi="宋体" w:cs="宋体"/>
          <w:color w:val="auto"/>
          <w:sz w:val="28"/>
          <w:szCs w:val="28"/>
          <w:highlight w:val="none"/>
        </w:rPr>
        <w:t>项目</w:t>
      </w:r>
      <w:r>
        <w:rPr>
          <w:rFonts w:hint="eastAsia" w:ascii="宋体" w:hAnsi="宋体" w:cs="宋体"/>
          <w:color w:val="auto"/>
          <w:sz w:val="28"/>
          <w:szCs w:val="28"/>
          <w:highlight w:val="none"/>
          <w:lang w:val="zh-CN"/>
        </w:rPr>
        <w:t>地区的主要自然灾害及防护措施</w:t>
      </w:r>
      <w:bookmarkEnd w:id="1081"/>
      <w:bookmarkEnd w:id="1082"/>
      <w:bookmarkEnd w:id="1083"/>
      <w:bookmarkEnd w:id="1084"/>
      <w:bookmarkEnd w:id="1086"/>
    </w:p>
    <w:p>
      <w:pPr>
        <w:pStyle w:val="33"/>
        <w:spacing w:line="560" w:lineRule="exact"/>
        <w:ind w:firstLine="31680"/>
        <w:rPr>
          <w:rFonts w:ascii="宋体" w:cs="宋体"/>
          <w:color w:val="auto"/>
          <w:sz w:val="28"/>
          <w:szCs w:val="28"/>
          <w:highlight w:val="none"/>
        </w:rPr>
      </w:pPr>
      <w:bookmarkStart w:id="1087" w:name="_Toc30723"/>
      <w:r>
        <w:rPr>
          <w:rFonts w:ascii="宋体" w:hAnsi="宋体" w:cs="宋体"/>
          <w:color w:val="auto"/>
          <w:sz w:val="28"/>
          <w:szCs w:val="28"/>
          <w:highlight w:val="none"/>
        </w:rPr>
        <w:t>1</w:t>
      </w:r>
      <w:r>
        <w:rPr>
          <w:rFonts w:hint="eastAsia" w:ascii="宋体" w:hAnsi="宋体" w:cs="宋体"/>
          <w:color w:val="auto"/>
          <w:sz w:val="28"/>
          <w:szCs w:val="28"/>
          <w:highlight w:val="none"/>
        </w:rPr>
        <w:t>、地震</w:t>
      </w:r>
      <w:bookmarkEnd w:id="1087"/>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根据《建筑抗震设计规范》及《江苏省抗震设防烈度标准》，建构筑物均按抗震烈度</w:t>
      </w:r>
      <w:r>
        <w:rPr>
          <w:rFonts w:ascii="宋体" w:hAnsi="宋体" w:cs="宋体"/>
          <w:color w:val="auto"/>
          <w:sz w:val="28"/>
          <w:szCs w:val="28"/>
          <w:highlight w:val="none"/>
        </w:rPr>
        <w:t>7</w:t>
      </w:r>
      <w:r>
        <w:rPr>
          <w:rFonts w:hint="eastAsia" w:ascii="宋体" w:hAnsi="宋体" w:cs="宋体"/>
          <w:color w:val="auto"/>
          <w:sz w:val="28"/>
          <w:szCs w:val="28"/>
          <w:highlight w:val="none"/>
        </w:rPr>
        <w:t>度设防，</w:t>
      </w:r>
      <w:r>
        <w:rPr>
          <w:rFonts w:hint="eastAsia" w:ascii="宋体" w:hAnsi="宋体" w:cs="宋体"/>
          <w:color w:val="auto"/>
          <w:sz w:val="28"/>
          <w:szCs w:val="28"/>
          <w:highlight w:val="none"/>
        </w:rPr>
        <w:t>设计基本地震加速度值为</w:t>
      </w:r>
      <w:r>
        <w:rPr>
          <w:rFonts w:ascii="宋体" w:cs="宋体"/>
          <w:color w:val="auto"/>
          <w:sz w:val="28"/>
          <w:szCs w:val="28"/>
          <w:highlight w:val="none"/>
        </w:rPr>
        <w:t>0.</w:t>
      </w:r>
      <w:r>
        <w:rPr>
          <w:rFonts w:ascii="宋体" w:hAnsi="宋体" w:cs="宋体"/>
          <w:color w:val="auto"/>
          <w:sz w:val="28"/>
          <w:szCs w:val="28"/>
          <w:highlight w:val="none"/>
        </w:rPr>
        <w:t>15g</w:t>
      </w:r>
      <w:r>
        <w:rPr>
          <w:rFonts w:hint="eastAsia" w:ascii="宋体" w:hAnsi="宋体" w:cs="宋体"/>
          <w:color w:val="auto"/>
          <w:sz w:val="28"/>
          <w:szCs w:val="28"/>
          <w:highlight w:val="none"/>
        </w:rPr>
        <w:t>，主要设备采用地脚螺栓与基础固定连接。</w:t>
      </w:r>
    </w:p>
    <w:p>
      <w:pPr>
        <w:pStyle w:val="33"/>
        <w:spacing w:line="560" w:lineRule="exact"/>
        <w:ind w:firstLine="31680"/>
        <w:rPr>
          <w:rFonts w:ascii="宋体" w:cs="宋体"/>
          <w:color w:val="auto"/>
          <w:sz w:val="28"/>
          <w:szCs w:val="28"/>
          <w:highlight w:val="none"/>
        </w:rPr>
      </w:pPr>
      <w:bookmarkStart w:id="1088" w:name="_Toc26070"/>
      <w:r>
        <w:rPr>
          <w:rFonts w:ascii="宋体" w:hAnsi="宋体" w:cs="宋体"/>
          <w:color w:val="auto"/>
          <w:sz w:val="28"/>
          <w:szCs w:val="28"/>
          <w:highlight w:val="none"/>
        </w:rPr>
        <w:t>2</w:t>
      </w:r>
      <w:r>
        <w:rPr>
          <w:rFonts w:hint="eastAsia" w:ascii="宋体" w:hAnsi="宋体" w:cs="宋体"/>
          <w:color w:val="auto"/>
          <w:sz w:val="28"/>
          <w:szCs w:val="28"/>
          <w:highlight w:val="none"/>
        </w:rPr>
        <w:t>、雷击</w:t>
      </w:r>
      <w:bookmarkEnd w:id="1088"/>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本地区夏季为雷雨多发季节，建构筑物需配相应的防雷设施，建立避雷网，使需要保护的建构筑物均在保护之内，预防雷击。</w:t>
      </w:r>
    </w:p>
    <w:p>
      <w:pPr>
        <w:pStyle w:val="33"/>
        <w:spacing w:line="560" w:lineRule="exact"/>
        <w:ind w:firstLine="31680"/>
        <w:rPr>
          <w:rFonts w:ascii="宋体" w:cs="宋体"/>
          <w:color w:val="auto"/>
          <w:sz w:val="28"/>
          <w:szCs w:val="28"/>
          <w:highlight w:val="none"/>
        </w:rPr>
      </w:pPr>
      <w:bookmarkStart w:id="1089" w:name="_Toc12893"/>
      <w:r>
        <w:rPr>
          <w:rFonts w:ascii="宋体" w:hAnsi="宋体" w:cs="宋体"/>
          <w:color w:val="auto"/>
          <w:sz w:val="28"/>
          <w:szCs w:val="28"/>
          <w:highlight w:val="none"/>
        </w:rPr>
        <w:t>3</w:t>
      </w:r>
      <w:r>
        <w:rPr>
          <w:rFonts w:hint="eastAsia" w:ascii="宋体" w:hAnsi="宋体" w:cs="宋体"/>
          <w:color w:val="auto"/>
          <w:sz w:val="28"/>
          <w:szCs w:val="28"/>
          <w:highlight w:val="none"/>
        </w:rPr>
        <w:t>、气候</w:t>
      </w:r>
      <w:bookmarkEnd w:id="1089"/>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本地区地处亚热带季风海洋性气候，夏季较热，冬天较冷。项目地夏季为雷雨多发季节，可能的自然灾害形式主要有：雷电、暴雨、台风、洪水等；冬天气温较低，可造成冻寒伤害。</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夏季办公室操作间防暑措施：设置空调。为防冬季带来的危害，操作间、办公室和控制室可设置必要的采暖措施。管道也应采取相应的防冻保暖措施。</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为防洪排涝，建厂时厂址标高应高于历年洪水最高水位，防止建构筑物被水淹渍。</w:t>
      </w:r>
    </w:p>
    <w:p>
      <w:pPr>
        <w:pStyle w:val="33"/>
        <w:spacing w:line="560" w:lineRule="exact"/>
        <w:ind w:firstLine="31680"/>
        <w:outlineLvl w:val="1"/>
        <w:rPr>
          <w:rFonts w:ascii="宋体" w:cs="宋体"/>
          <w:color w:val="auto"/>
          <w:sz w:val="28"/>
          <w:szCs w:val="28"/>
          <w:highlight w:val="none"/>
        </w:rPr>
        <w:sectPr>
          <w:pgSz w:w="11906" w:h="16838"/>
          <w:pgMar w:top="1440" w:right="1800" w:bottom="1440" w:left="1800" w:header="851" w:footer="992" w:gutter="0"/>
          <w:cols w:space="425" w:num="1"/>
          <w:docGrid w:type="lines" w:linePitch="312" w:charSpace="0"/>
        </w:sectPr>
      </w:pPr>
      <w:bookmarkStart w:id="1090" w:name="_Toc1821"/>
      <w:bookmarkStart w:id="1091" w:name="_Toc23929"/>
      <w:r>
        <w:rPr>
          <w:rFonts w:ascii="宋体" w:hAnsi="宋体" w:cs="宋体"/>
          <w:color w:val="auto"/>
          <w:sz w:val="28"/>
          <w:szCs w:val="28"/>
          <w:highlight w:val="none"/>
        </w:rPr>
        <w:t xml:space="preserve">12.3 </w:t>
      </w:r>
      <w:r>
        <w:rPr>
          <w:rFonts w:hint="eastAsia" w:ascii="宋体" w:hAnsi="宋体" w:cs="宋体"/>
          <w:color w:val="auto"/>
          <w:sz w:val="28"/>
          <w:szCs w:val="28"/>
          <w:highlight w:val="none"/>
        </w:rPr>
        <w:t>生产过程中危险有害因素和职业病分析</w:t>
      </w:r>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85"/>
      <w:bookmarkEnd w:id="1090"/>
      <w:bookmarkEnd w:id="1091"/>
    </w:p>
    <w:p>
      <w:pPr>
        <w:spacing w:line="560" w:lineRule="exact"/>
        <w:jc w:val="center"/>
        <w:rPr>
          <w:bCs/>
          <w:color w:val="auto"/>
          <w:sz w:val="28"/>
          <w:szCs w:val="28"/>
          <w:highlight w:val="none"/>
        </w:rPr>
      </w:pPr>
      <w:r>
        <w:rPr>
          <w:rFonts w:hint="eastAsia"/>
          <w:bCs/>
          <w:color w:val="auto"/>
          <w:sz w:val="28"/>
          <w:szCs w:val="28"/>
          <w:highlight w:val="none"/>
        </w:rPr>
        <w:t>表</w:t>
      </w:r>
      <w:r>
        <w:rPr>
          <w:bCs/>
          <w:color w:val="auto"/>
          <w:sz w:val="28"/>
          <w:szCs w:val="28"/>
          <w:highlight w:val="none"/>
        </w:rPr>
        <w:t xml:space="preserve">12.3-1  </w:t>
      </w:r>
      <w:r>
        <w:rPr>
          <w:rFonts w:hint="eastAsia"/>
          <w:bCs/>
          <w:color w:val="auto"/>
          <w:sz w:val="28"/>
          <w:szCs w:val="28"/>
          <w:highlight w:val="none"/>
        </w:rPr>
        <w:t>项目主要危险、有害物质的危险、有害特性表</w:t>
      </w:r>
    </w:p>
    <w:tbl>
      <w:tblPr>
        <w:tblStyle w:val="16"/>
        <w:tblW w:w="1404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0"/>
        <w:gridCol w:w="1080"/>
        <w:gridCol w:w="1260"/>
        <w:gridCol w:w="540"/>
        <w:gridCol w:w="540"/>
        <w:gridCol w:w="540"/>
        <w:gridCol w:w="795"/>
        <w:gridCol w:w="825"/>
        <w:gridCol w:w="789"/>
        <w:gridCol w:w="720"/>
        <w:gridCol w:w="714"/>
        <w:gridCol w:w="900"/>
        <w:gridCol w:w="540"/>
        <w:gridCol w:w="42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trPr>
        <w:tc>
          <w:tcPr>
            <w:tcW w:w="540" w:type="dxa"/>
            <w:vMerge w:val="restart"/>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序号</w:t>
            </w:r>
          </w:p>
        </w:tc>
        <w:tc>
          <w:tcPr>
            <w:tcW w:w="1080" w:type="dxa"/>
            <w:vMerge w:val="restart"/>
            <w:vAlign w:val="center"/>
          </w:tcPr>
          <w:p>
            <w:pPr>
              <w:spacing w:line="200" w:lineRule="exact"/>
              <w:jc w:val="center"/>
              <w:rPr>
                <w:rFonts w:ascii="宋体"/>
                <w:b/>
                <w:color w:val="auto"/>
                <w:sz w:val="18"/>
                <w:szCs w:val="18"/>
                <w:highlight w:val="none"/>
              </w:rPr>
            </w:pPr>
            <w:r>
              <w:rPr>
                <w:rFonts w:hint="eastAsia" w:ascii="宋体" w:hAnsi="宋体"/>
                <w:b/>
                <w:color w:val="auto"/>
                <w:sz w:val="18"/>
                <w:szCs w:val="18"/>
                <w:highlight w:val="none"/>
              </w:rPr>
              <w:t>物质名称</w:t>
            </w:r>
          </w:p>
          <w:p>
            <w:pPr>
              <w:spacing w:line="200" w:lineRule="exact"/>
              <w:jc w:val="center"/>
              <w:rPr>
                <w:rFonts w:ascii="宋体"/>
                <w:b/>
                <w:color w:val="auto"/>
                <w:sz w:val="18"/>
                <w:szCs w:val="18"/>
                <w:highlight w:val="none"/>
              </w:rPr>
            </w:pPr>
            <w:r>
              <w:rPr>
                <w:rFonts w:ascii="宋体" w:hAnsi="宋体"/>
                <w:b/>
                <w:color w:val="auto"/>
                <w:sz w:val="18"/>
                <w:szCs w:val="18"/>
                <w:highlight w:val="none"/>
              </w:rPr>
              <w:t>UN</w:t>
            </w:r>
            <w:r>
              <w:rPr>
                <w:rFonts w:hint="eastAsia" w:ascii="宋体" w:hAnsi="宋体"/>
                <w:b/>
                <w:color w:val="auto"/>
                <w:sz w:val="18"/>
                <w:szCs w:val="18"/>
                <w:highlight w:val="none"/>
              </w:rPr>
              <w:t>号</w:t>
            </w:r>
          </w:p>
          <w:p>
            <w:pPr>
              <w:spacing w:line="200" w:lineRule="exact"/>
              <w:ind w:right="-55" w:rightChars="-26"/>
              <w:jc w:val="center"/>
              <w:rPr>
                <w:rFonts w:ascii="宋体"/>
                <w:b/>
                <w:color w:val="auto"/>
                <w:sz w:val="18"/>
                <w:szCs w:val="18"/>
                <w:highlight w:val="none"/>
              </w:rPr>
            </w:pPr>
            <w:r>
              <w:rPr>
                <w:rFonts w:ascii="宋体" w:hAnsi="宋体"/>
                <w:b/>
                <w:color w:val="auto"/>
                <w:sz w:val="18"/>
                <w:szCs w:val="18"/>
                <w:highlight w:val="none"/>
              </w:rPr>
              <w:t>CN</w:t>
            </w:r>
            <w:r>
              <w:rPr>
                <w:rFonts w:hint="eastAsia" w:ascii="宋体" w:hAnsi="宋体"/>
                <w:b/>
                <w:color w:val="auto"/>
                <w:sz w:val="18"/>
                <w:szCs w:val="18"/>
                <w:highlight w:val="none"/>
              </w:rPr>
              <w:t>号</w:t>
            </w:r>
          </w:p>
        </w:tc>
        <w:tc>
          <w:tcPr>
            <w:tcW w:w="1260" w:type="dxa"/>
            <w:vMerge w:val="restart"/>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性状</w:t>
            </w:r>
          </w:p>
        </w:tc>
        <w:tc>
          <w:tcPr>
            <w:tcW w:w="1080" w:type="dxa"/>
            <w:gridSpan w:val="2"/>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相对（蒸气）</w:t>
            </w:r>
          </w:p>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密度</w:t>
            </w:r>
          </w:p>
        </w:tc>
        <w:tc>
          <w:tcPr>
            <w:tcW w:w="540" w:type="dxa"/>
            <w:vMerge w:val="restart"/>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闪点℃</w:t>
            </w:r>
          </w:p>
        </w:tc>
        <w:tc>
          <w:tcPr>
            <w:tcW w:w="795" w:type="dxa"/>
            <w:vMerge w:val="restart"/>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熔点℃</w:t>
            </w:r>
          </w:p>
        </w:tc>
        <w:tc>
          <w:tcPr>
            <w:tcW w:w="825" w:type="dxa"/>
            <w:vMerge w:val="restart"/>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沸点℃</w:t>
            </w:r>
          </w:p>
        </w:tc>
        <w:tc>
          <w:tcPr>
            <w:tcW w:w="789" w:type="dxa"/>
            <w:vMerge w:val="restart"/>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引燃温度℃</w:t>
            </w:r>
          </w:p>
        </w:tc>
        <w:tc>
          <w:tcPr>
            <w:tcW w:w="720" w:type="dxa"/>
            <w:vMerge w:val="restart"/>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火灾危险分类</w:t>
            </w:r>
          </w:p>
        </w:tc>
        <w:tc>
          <w:tcPr>
            <w:tcW w:w="714" w:type="dxa"/>
            <w:vMerge w:val="restart"/>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爆炸极限</w:t>
            </w:r>
            <w:r>
              <w:rPr>
                <w:rFonts w:ascii="宋体" w:hAnsi="宋体"/>
                <w:b/>
                <w:bCs/>
                <w:color w:val="auto"/>
                <w:sz w:val="18"/>
                <w:szCs w:val="18"/>
                <w:highlight w:val="none"/>
              </w:rPr>
              <w:t>V%</w:t>
            </w:r>
          </w:p>
        </w:tc>
        <w:tc>
          <w:tcPr>
            <w:tcW w:w="900" w:type="dxa"/>
            <w:vMerge w:val="restart"/>
            <w:vAlign w:val="center"/>
          </w:tcPr>
          <w:p>
            <w:pPr>
              <w:spacing w:line="200" w:lineRule="exact"/>
              <w:ind w:right="-55" w:rightChars="-26"/>
              <w:jc w:val="center"/>
              <w:rPr>
                <w:rFonts w:ascii="宋体"/>
                <w:b/>
                <w:bCs/>
                <w:color w:val="auto"/>
                <w:sz w:val="18"/>
                <w:szCs w:val="18"/>
                <w:highlight w:val="none"/>
              </w:rPr>
            </w:pPr>
            <w:r>
              <w:rPr>
                <w:rFonts w:ascii="宋体" w:hAnsi="宋体"/>
                <w:b/>
                <w:bCs/>
                <w:color w:val="auto"/>
                <w:sz w:val="18"/>
                <w:szCs w:val="18"/>
                <w:highlight w:val="none"/>
              </w:rPr>
              <w:t>LD</w:t>
            </w:r>
            <w:r>
              <w:rPr>
                <w:rFonts w:ascii="宋体" w:hAnsi="宋体"/>
                <w:b/>
                <w:bCs/>
                <w:color w:val="auto"/>
                <w:sz w:val="18"/>
                <w:szCs w:val="18"/>
                <w:highlight w:val="none"/>
                <w:vertAlign w:val="subscript"/>
              </w:rPr>
              <w:t>50</w:t>
            </w:r>
          </w:p>
          <w:p>
            <w:pPr>
              <w:spacing w:line="200" w:lineRule="exact"/>
              <w:ind w:right="-55" w:rightChars="-26"/>
              <w:jc w:val="center"/>
              <w:rPr>
                <w:rFonts w:ascii="宋体"/>
                <w:b/>
                <w:bCs/>
                <w:color w:val="auto"/>
                <w:sz w:val="18"/>
                <w:szCs w:val="18"/>
                <w:highlight w:val="none"/>
              </w:rPr>
            </w:pPr>
            <w:r>
              <w:rPr>
                <w:rFonts w:ascii="宋体" w:hAnsi="宋体"/>
                <w:b/>
                <w:bCs/>
                <w:color w:val="auto"/>
                <w:sz w:val="18"/>
                <w:szCs w:val="18"/>
                <w:highlight w:val="none"/>
              </w:rPr>
              <w:t>mg/kg</w:t>
            </w:r>
          </w:p>
          <w:p>
            <w:pPr>
              <w:spacing w:line="200" w:lineRule="exact"/>
              <w:ind w:right="-55" w:rightChars="-26"/>
              <w:jc w:val="center"/>
              <w:rPr>
                <w:rFonts w:ascii="宋体"/>
                <w:b/>
                <w:bCs/>
                <w:color w:val="auto"/>
                <w:sz w:val="18"/>
                <w:szCs w:val="18"/>
                <w:highlight w:val="none"/>
              </w:rPr>
            </w:pPr>
            <w:r>
              <w:rPr>
                <w:rFonts w:hint="eastAsia" w:ascii="宋体" w:hAnsi="宋体" w:cs="宋体"/>
                <w:b/>
                <w:color w:val="auto"/>
                <w:kern w:val="0"/>
                <w:sz w:val="18"/>
                <w:szCs w:val="18"/>
                <w:highlight w:val="none"/>
              </w:rPr>
              <w:t>大鼠经口</w:t>
            </w:r>
          </w:p>
        </w:tc>
        <w:tc>
          <w:tcPr>
            <w:tcW w:w="540" w:type="dxa"/>
            <w:vMerge w:val="restart"/>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危害程度级别</w:t>
            </w:r>
          </w:p>
        </w:tc>
        <w:tc>
          <w:tcPr>
            <w:tcW w:w="4257" w:type="dxa"/>
            <w:vMerge w:val="restart"/>
            <w:vAlign w:val="center"/>
          </w:tcPr>
          <w:p>
            <w:pPr>
              <w:spacing w:line="200" w:lineRule="exact"/>
              <w:ind w:right="-55" w:rightChars="-26"/>
              <w:jc w:val="center"/>
              <w:rPr>
                <w:rFonts w:ascii="宋体"/>
                <w:b/>
                <w:bCs/>
                <w:color w:val="auto"/>
                <w:sz w:val="18"/>
                <w:szCs w:val="18"/>
                <w:highlight w:val="none"/>
              </w:rPr>
            </w:pPr>
            <w:r>
              <w:rPr>
                <w:rFonts w:hint="eastAsia" w:ascii="宋体" w:hAnsi="宋体"/>
                <w:b/>
                <w:bCs/>
                <w:color w:val="auto"/>
                <w:sz w:val="18"/>
                <w:szCs w:val="18"/>
                <w:highlight w:val="none"/>
              </w:rPr>
              <w:t>危险有害性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540" w:type="dxa"/>
            <w:vMerge w:val="continue"/>
            <w:vAlign w:val="center"/>
          </w:tcPr>
          <w:p>
            <w:pPr>
              <w:widowControl/>
              <w:spacing w:line="200" w:lineRule="exact"/>
              <w:jc w:val="left"/>
              <w:rPr>
                <w:rFonts w:ascii="宋体"/>
                <w:b/>
                <w:bCs/>
                <w:color w:val="auto"/>
                <w:sz w:val="18"/>
                <w:szCs w:val="18"/>
                <w:highlight w:val="none"/>
              </w:rPr>
            </w:pPr>
          </w:p>
        </w:tc>
        <w:tc>
          <w:tcPr>
            <w:tcW w:w="1080" w:type="dxa"/>
            <w:vMerge w:val="continue"/>
            <w:vAlign w:val="center"/>
          </w:tcPr>
          <w:p>
            <w:pPr>
              <w:widowControl/>
              <w:spacing w:line="200" w:lineRule="exact"/>
              <w:jc w:val="left"/>
              <w:rPr>
                <w:rFonts w:ascii="宋体"/>
                <w:b/>
                <w:color w:val="auto"/>
                <w:sz w:val="18"/>
                <w:szCs w:val="18"/>
                <w:highlight w:val="none"/>
              </w:rPr>
            </w:pPr>
          </w:p>
        </w:tc>
        <w:tc>
          <w:tcPr>
            <w:tcW w:w="1260" w:type="dxa"/>
            <w:vMerge w:val="continue"/>
            <w:vAlign w:val="center"/>
          </w:tcPr>
          <w:p>
            <w:pPr>
              <w:widowControl/>
              <w:spacing w:line="200" w:lineRule="exact"/>
              <w:jc w:val="left"/>
              <w:rPr>
                <w:rFonts w:ascii="宋体"/>
                <w:b/>
                <w:bCs/>
                <w:color w:val="auto"/>
                <w:sz w:val="18"/>
                <w:szCs w:val="18"/>
                <w:highlight w:val="none"/>
              </w:rPr>
            </w:pPr>
          </w:p>
        </w:tc>
        <w:tc>
          <w:tcPr>
            <w:tcW w:w="540" w:type="dxa"/>
            <w:vAlign w:val="center"/>
          </w:tcPr>
          <w:p>
            <w:pPr>
              <w:spacing w:line="200" w:lineRule="exact"/>
              <w:ind w:right="-55" w:rightChars="-26"/>
              <w:jc w:val="center"/>
              <w:rPr>
                <w:rFonts w:ascii="宋体"/>
                <w:bCs/>
                <w:color w:val="auto"/>
                <w:sz w:val="18"/>
                <w:szCs w:val="18"/>
                <w:highlight w:val="none"/>
              </w:rPr>
            </w:pPr>
            <w:r>
              <w:rPr>
                <w:rFonts w:hint="eastAsia" w:ascii="宋体" w:hAnsi="宋体"/>
                <w:bCs/>
                <w:color w:val="auto"/>
                <w:sz w:val="18"/>
                <w:szCs w:val="18"/>
                <w:highlight w:val="none"/>
              </w:rPr>
              <w:t>水</w:t>
            </w:r>
            <w:r>
              <w:rPr>
                <w:rFonts w:ascii="宋体" w:hAnsi="宋体"/>
                <w:bCs/>
                <w:color w:val="auto"/>
                <w:sz w:val="18"/>
                <w:szCs w:val="18"/>
                <w:highlight w:val="none"/>
              </w:rPr>
              <w:t>=1</w:t>
            </w:r>
          </w:p>
        </w:tc>
        <w:tc>
          <w:tcPr>
            <w:tcW w:w="540" w:type="dxa"/>
            <w:vAlign w:val="center"/>
          </w:tcPr>
          <w:p>
            <w:pPr>
              <w:spacing w:line="200" w:lineRule="exact"/>
              <w:ind w:right="-55" w:rightChars="-26"/>
              <w:jc w:val="center"/>
              <w:rPr>
                <w:rFonts w:ascii="宋体"/>
                <w:bCs/>
                <w:color w:val="auto"/>
                <w:sz w:val="18"/>
                <w:szCs w:val="18"/>
                <w:highlight w:val="none"/>
              </w:rPr>
            </w:pPr>
            <w:r>
              <w:rPr>
                <w:rFonts w:hint="eastAsia" w:ascii="宋体" w:hAnsi="宋体"/>
                <w:bCs/>
                <w:color w:val="auto"/>
                <w:sz w:val="18"/>
                <w:szCs w:val="18"/>
                <w:highlight w:val="none"/>
              </w:rPr>
              <w:t>空气</w:t>
            </w:r>
            <w:r>
              <w:rPr>
                <w:rFonts w:ascii="宋体" w:hAnsi="宋体"/>
                <w:bCs/>
                <w:color w:val="auto"/>
                <w:sz w:val="18"/>
                <w:szCs w:val="18"/>
                <w:highlight w:val="none"/>
              </w:rPr>
              <w:t>=1</w:t>
            </w:r>
          </w:p>
        </w:tc>
        <w:tc>
          <w:tcPr>
            <w:tcW w:w="540" w:type="dxa"/>
            <w:vMerge w:val="continue"/>
            <w:vAlign w:val="center"/>
          </w:tcPr>
          <w:p>
            <w:pPr>
              <w:widowControl/>
              <w:spacing w:line="200" w:lineRule="exact"/>
              <w:jc w:val="left"/>
              <w:rPr>
                <w:rFonts w:ascii="宋体"/>
                <w:b/>
                <w:bCs/>
                <w:color w:val="auto"/>
                <w:sz w:val="18"/>
                <w:szCs w:val="18"/>
                <w:highlight w:val="none"/>
              </w:rPr>
            </w:pPr>
          </w:p>
        </w:tc>
        <w:tc>
          <w:tcPr>
            <w:tcW w:w="795" w:type="dxa"/>
            <w:vMerge w:val="continue"/>
            <w:vAlign w:val="center"/>
          </w:tcPr>
          <w:p>
            <w:pPr>
              <w:widowControl/>
              <w:spacing w:line="200" w:lineRule="exact"/>
              <w:jc w:val="left"/>
              <w:rPr>
                <w:rFonts w:ascii="宋体"/>
                <w:b/>
                <w:bCs/>
                <w:color w:val="auto"/>
                <w:sz w:val="18"/>
                <w:szCs w:val="18"/>
                <w:highlight w:val="none"/>
              </w:rPr>
            </w:pPr>
          </w:p>
        </w:tc>
        <w:tc>
          <w:tcPr>
            <w:tcW w:w="825" w:type="dxa"/>
            <w:vMerge w:val="continue"/>
            <w:vAlign w:val="center"/>
          </w:tcPr>
          <w:p>
            <w:pPr>
              <w:widowControl/>
              <w:spacing w:line="200" w:lineRule="exact"/>
              <w:jc w:val="left"/>
              <w:rPr>
                <w:rFonts w:ascii="宋体"/>
                <w:b/>
                <w:bCs/>
                <w:color w:val="auto"/>
                <w:sz w:val="18"/>
                <w:szCs w:val="18"/>
                <w:highlight w:val="none"/>
              </w:rPr>
            </w:pPr>
          </w:p>
        </w:tc>
        <w:tc>
          <w:tcPr>
            <w:tcW w:w="789" w:type="dxa"/>
            <w:vMerge w:val="continue"/>
            <w:vAlign w:val="center"/>
          </w:tcPr>
          <w:p>
            <w:pPr>
              <w:widowControl/>
              <w:spacing w:line="200" w:lineRule="exact"/>
              <w:jc w:val="left"/>
              <w:rPr>
                <w:rFonts w:ascii="宋体"/>
                <w:b/>
                <w:bCs/>
                <w:color w:val="auto"/>
                <w:sz w:val="18"/>
                <w:szCs w:val="18"/>
                <w:highlight w:val="none"/>
              </w:rPr>
            </w:pPr>
          </w:p>
        </w:tc>
        <w:tc>
          <w:tcPr>
            <w:tcW w:w="720" w:type="dxa"/>
            <w:vMerge w:val="continue"/>
            <w:vAlign w:val="center"/>
          </w:tcPr>
          <w:p>
            <w:pPr>
              <w:widowControl/>
              <w:spacing w:line="200" w:lineRule="exact"/>
              <w:jc w:val="left"/>
              <w:rPr>
                <w:rFonts w:ascii="宋体"/>
                <w:b/>
                <w:bCs/>
                <w:color w:val="auto"/>
                <w:sz w:val="18"/>
                <w:szCs w:val="18"/>
                <w:highlight w:val="none"/>
              </w:rPr>
            </w:pPr>
          </w:p>
        </w:tc>
        <w:tc>
          <w:tcPr>
            <w:tcW w:w="714" w:type="dxa"/>
            <w:vMerge w:val="continue"/>
            <w:vAlign w:val="center"/>
          </w:tcPr>
          <w:p>
            <w:pPr>
              <w:widowControl/>
              <w:spacing w:line="200" w:lineRule="exact"/>
              <w:jc w:val="left"/>
              <w:rPr>
                <w:rFonts w:ascii="宋体"/>
                <w:b/>
                <w:bCs/>
                <w:color w:val="auto"/>
                <w:sz w:val="18"/>
                <w:szCs w:val="18"/>
                <w:highlight w:val="none"/>
              </w:rPr>
            </w:pPr>
          </w:p>
        </w:tc>
        <w:tc>
          <w:tcPr>
            <w:tcW w:w="900" w:type="dxa"/>
            <w:vMerge w:val="continue"/>
            <w:vAlign w:val="center"/>
          </w:tcPr>
          <w:p>
            <w:pPr>
              <w:widowControl/>
              <w:spacing w:line="200" w:lineRule="exact"/>
              <w:jc w:val="left"/>
              <w:rPr>
                <w:rFonts w:ascii="宋体"/>
                <w:b/>
                <w:bCs/>
                <w:color w:val="auto"/>
                <w:sz w:val="18"/>
                <w:szCs w:val="18"/>
                <w:highlight w:val="none"/>
              </w:rPr>
            </w:pPr>
          </w:p>
        </w:tc>
        <w:tc>
          <w:tcPr>
            <w:tcW w:w="540" w:type="dxa"/>
            <w:vMerge w:val="continue"/>
            <w:vAlign w:val="center"/>
          </w:tcPr>
          <w:p>
            <w:pPr>
              <w:widowControl/>
              <w:spacing w:line="200" w:lineRule="exact"/>
              <w:jc w:val="left"/>
              <w:rPr>
                <w:rFonts w:ascii="宋体"/>
                <w:b/>
                <w:bCs/>
                <w:color w:val="auto"/>
                <w:sz w:val="18"/>
                <w:szCs w:val="18"/>
                <w:highlight w:val="none"/>
              </w:rPr>
            </w:pPr>
          </w:p>
        </w:tc>
        <w:tc>
          <w:tcPr>
            <w:tcW w:w="4257" w:type="dxa"/>
            <w:vMerge w:val="continue"/>
            <w:vAlign w:val="center"/>
          </w:tcPr>
          <w:p>
            <w:pPr>
              <w:widowControl/>
              <w:spacing w:line="200" w:lineRule="exact"/>
              <w:jc w:val="left"/>
              <w:rPr>
                <w:rFonts w:ascii="宋体"/>
                <w:b/>
                <w:bCs/>
                <w:color w:val="auto"/>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540" w:type="dxa"/>
            <w:vAlign w:val="center"/>
          </w:tcPr>
          <w:p>
            <w:pPr>
              <w:spacing w:line="200" w:lineRule="exact"/>
              <w:jc w:val="center"/>
              <w:rPr>
                <w:rFonts w:ascii="宋体"/>
                <w:bCs/>
                <w:color w:val="auto"/>
                <w:sz w:val="18"/>
                <w:szCs w:val="18"/>
                <w:highlight w:val="none"/>
              </w:rPr>
            </w:pPr>
            <w:r>
              <w:rPr>
                <w:rFonts w:ascii="宋体" w:hAnsi="宋体"/>
                <w:bCs/>
                <w:color w:val="auto"/>
                <w:sz w:val="18"/>
                <w:szCs w:val="18"/>
                <w:highlight w:val="none"/>
              </w:rPr>
              <w:t>1</w:t>
            </w:r>
          </w:p>
        </w:tc>
        <w:tc>
          <w:tcPr>
            <w:tcW w:w="1080" w:type="dxa"/>
            <w:vAlign w:val="center"/>
          </w:tcPr>
          <w:p>
            <w:pPr>
              <w:spacing w:line="200" w:lineRule="exact"/>
              <w:jc w:val="center"/>
              <w:rPr>
                <w:rFonts w:ascii="宋体"/>
                <w:bCs/>
                <w:color w:val="auto"/>
                <w:sz w:val="18"/>
                <w:szCs w:val="18"/>
                <w:highlight w:val="none"/>
              </w:rPr>
            </w:pPr>
            <w:r>
              <w:rPr>
                <w:rFonts w:hint="eastAsia" w:ascii="宋体" w:hAnsi="宋体"/>
                <w:bCs/>
                <w:color w:val="auto"/>
                <w:sz w:val="18"/>
                <w:szCs w:val="18"/>
                <w:highlight w:val="none"/>
              </w:rPr>
              <w:t>氯气</w:t>
            </w:r>
          </w:p>
          <w:p>
            <w:pPr>
              <w:spacing w:line="200" w:lineRule="exact"/>
              <w:jc w:val="center"/>
              <w:rPr>
                <w:rFonts w:ascii="宋体"/>
                <w:bCs/>
                <w:color w:val="auto"/>
                <w:sz w:val="18"/>
                <w:szCs w:val="18"/>
                <w:highlight w:val="none"/>
              </w:rPr>
            </w:pPr>
          </w:p>
        </w:tc>
        <w:tc>
          <w:tcPr>
            <w:tcW w:w="1260" w:type="dxa"/>
            <w:vAlign w:val="center"/>
          </w:tcPr>
          <w:p>
            <w:pPr>
              <w:spacing w:line="200" w:lineRule="exact"/>
              <w:jc w:val="center"/>
              <w:rPr>
                <w:rFonts w:ascii="宋体"/>
                <w:bCs/>
                <w:color w:val="auto"/>
                <w:sz w:val="18"/>
                <w:szCs w:val="18"/>
                <w:highlight w:val="none"/>
              </w:rPr>
            </w:pPr>
            <w:r>
              <w:rPr>
                <w:rFonts w:hint="eastAsia" w:ascii="宋体" w:hAnsi="宋体"/>
                <w:color w:val="auto"/>
                <w:sz w:val="18"/>
                <w:szCs w:val="18"/>
                <w:highlight w:val="none"/>
              </w:rPr>
              <w:t>黄绿色，有强烈刺激性气味的有毒气体</w:t>
            </w:r>
          </w:p>
        </w:tc>
        <w:tc>
          <w:tcPr>
            <w:tcW w:w="540" w:type="dxa"/>
            <w:vAlign w:val="center"/>
          </w:tcPr>
          <w:p>
            <w:pPr>
              <w:spacing w:line="200" w:lineRule="exact"/>
              <w:jc w:val="center"/>
              <w:rPr>
                <w:rFonts w:ascii="宋体"/>
                <w:bCs/>
                <w:color w:val="auto"/>
                <w:sz w:val="18"/>
                <w:szCs w:val="18"/>
                <w:highlight w:val="none"/>
              </w:rPr>
            </w:pPr>
          </w:p>
        </w:tc>
        <w:tc>
          <w:tcPr>
            <w:tcW w:w="540" w:type="dxa"/>
            <w:vAlign w:val="center"/>
          </w:tcPr>
          <w:p>
            <w:pPr>
              <w:spacing w:line="200" w:lineRule="exact"/>
              <w:ind w:left="1" w:leftChars="-51" w:hanging="108" w:hangingChars="60"/>
              <w:jc w:val="center"/>
              <w:rPr>
                <w:rFonts w:ascii="宋体"/>
                <w:bCs/>
                <w:color w:val="auto"/>
                <w:sz w:val="18"/>
                <w:szCs w:val="18"/>
                <w:highlight w:val="none"/>
              </w:rPr>
            </w:pPr>
            <w:r>
              <w:rPr>
                <w:rFonts w:ascii="宋体" w:hAnsi="宋体"/>
                <w:bCs/>
                <w:color w:val="auto"/>
                <w:sz w:val="18"/>
                <w:szCs w:val="18"/>
                <w:highlight w:val="none"/>
              </w:rPr>
              <w:t>3.21</w:t>
            </w:r>
          </w:p>
        </w:tc>
        <w:tc>
          <w:tcPr>
            <w:tcW w:w="540" w:type="dxa"/>
            <w:vAlign w:val="center"/>
          </w:tcPr>
          <w:p>
            <w:pPr>
              <w:spacing w:line="200" w:lineRule="exact"/>
              <w:jc w:val="center"/>
              <w:rPr>
                <w:rFonts w:ascii="宋体"/>
                <w:bCs/>
                <w:color w:val="auto"/>
                <w:sz w:val="18"/>
                <w:szCs w:val="18"/>
                <w:highlight w:val="none"/>
              </w:rPr>
            </w:pPr>
          </w:p>
        </w:tc>
        <w:tc>
          <w:tcPr>
            <w:tcW w:w="795" w:type="dxa"/>
            <w:vAlign w:val="center"/>
          </w:tcPr>
          <w:p>
            <w:pPr>
              <w:spacing w:line="200" w:lineRule="exact"/>
              <w:jc w:val="center"/>
              <w:rPr>
                <w:rFonts w:ascii="宋体"/>
                <w:bCs/>
                <w:color w:val="auto"/>
                <w:sz w:val="18"/>
                <w:szCs w:val="18"/>
                <w:highlight w:val="none"/>
              </w:rPr>
            </w:pPr>
            <w:r>
              <w:rPr>
                <w:rFonts w:ascii="宋体" w:hAnsi="宋体"/>
                <w:bCs/>
                <w:color w:val="auto"/>
                <w:sz w:val="18"/>
                <w:szCs w:val="18"/>
                <w:highlight w:val="none"/>
              </w:rPr>
              <w:t>-101</w:t>
            </w:r>
          </w:p>
        </w:tc>
        <w:tc>
          <w:tcPr>
            <w:tcW w:w="825" w:type="dxa"/>
            <w:vAlign w:val="center"/>
          </w:tcPr>
          <w:p>
            <w:pPr>
              <w:spacing w:line="200" w:lineRule="exact"/>
              <w:jc w:val="center"/>
              <w:rPr>
                <w:rFonts w:ascii="宋体"/>
                <w:bCs/>
                <w:color w:val="auto"/>
                <w:sz w:val="18"/>
                <w:szCs w:val="18"/>
                <w:highlight w:val="none"/>
              </w:rPr>
            </w:pPr>
            <w:r>
              <w:rPr>
                <w:rFonts w:ascii="宋体" w:hAnsi="宋体"/>
                <w:bCs/>
                <w:color w:val="auto"/>
                <w:sz w:val="18"/>
                <w:szCs w:val="18"/>
                <w:highlight w:val="none"/>
              </w:rPr>
              <w:t>-34</w:t>
            </w:r>
          </w:p>
        </w:tc>
        <w:tc>
          <w:tcPr>
            <w:tcW w:w="789" w:type="dxa"/>
            <w:vAlign w:val="center"/>
          </w:tcPr>
          <w:p>
            <w:pPr>
              <w:spacing w:line="200" w:lineRule="exact"/>
              <w:jc w:val="center"/>
              <w:rPr>
                <w:rFonts w:ascii="宋体"/>
                <w:bCs/>
                <w:color w:val="auto"/>
                <w:sz w:val="18"/>
                <w:szCs w:val="18"/>
                <w:highlight w:val="none"/>
              </w:rPr>
            </w:pPr>
          </w:p>
        </w:tc>
        <w:tc>
          <w:tcPr>
            <w:tcW w:w="720" w:type="dxa"/>
            <w:vAlign w:val="center"/>
          </w:tcPr>
          <w:p>
            <w:pPr>
              <w:spacing w:line="200" w:lineRule="exact"/>
              <w:jc w:val="center"/>
              <w:rPr>
                <w:rFonts w:ascii="宋体"/>
                <w:bCs/>
                <w:color w:val="auto"/>
                <w:sz w:val="18"/>
                <w:szCs w:val="18"/>
                <w:highlight w:val="none"/>
              </w:rPr>
            </w:pPr>
            <w:r>
              <w:rPr>
                <w:rFonts w:hint="eastAsia" w:ascii="宋体" w:hAnsi="宋体"/>
                <w:bCs/>
                <w:color w:val="auto"/>
                <w:sz w:val="18"/>
                <w:szCs w:val="18"/>
                <w:highlight w:val="none"/>
              </w:rPr>
              <w:t>乙类</w:t>
            </w:r>
          </w:p>
        </w:tc>
        <w:tc>
          <w:tcPr>
            <w:tcW w:w="714" w:type="dxa"/>
            <w:vAlign w:val="center"/>
          </w:tcPr>
          <w:p>
            <w:pPr>
              <w:spacing w:line="200" w:lineRule="exact"/>
              <w:jc w:val="center"/>
              <w:rPr>
                <w:rFonts w:ascii="宋体"/>
                <w:bCs/>
                <w:color w:val="auto"/>
                <w:sz w:val="18"/>
                <w:szCs w:val="18"/>
                <w:highlight w:val="none"/>
              </w:rPr>
            </w:pPr>
          </w:p>
        </w:tc>
        <w:tc>
          <w:tcPr>
            <w:tcW w:w="900" w:type="dxa"/>
            <w:vAlign w:val="center"/>
          </w:tcPr>
          <w:p>
            <w:pPr>
              <w:spacing w:line="200" w:lineRule="exact"/>
              <w:jc w:val="center"/>
              <w:rPr>
                <w:rFonts w:ascii="宋体"/>
                <w:bCs/>
                <w:color w:val="auto"/>
                <w:sz w:val="18"/>
                <w:szCs w:val="18"/>
                <w:highlight w:val="none"/>
              </w:rPr>
            </w:pPr>
          </w:p>
        </w:tc>
        <w:tc>
          <w:tcPr>
            <w:tcW w:w="540" w:type="dxa"/>
            <w:vAlign w:val="center"/>
          </w:tcPr>
          <w:p>
            <w:pPr>
              <w:spacing w:line="200" w:lineRule="exact"/>
              <w:ind w:right="-55" w:rightChars="-26"/>
              <w:jc w:val="center"/>
              <w:rPr>
                <w:rFonts w:ascii="宋体"/>
                <w:bCs/>
                <w:color w:val="auto"/>
                <w:sz w:val="18"/>
                <w:szCs w:val="18"/>
                <w:highlight w:val="none"/>
              </w:rPr>
            </w:pPr>
            <w:r>
              <w:rPr>
                <w:rFonts w:hint="eastAsia" w:ascii="宋体" w:hAnsi="宋体"/>
                <w:bCs/>
                <w:color w:val="auto"/>
                <w:sz w:val="18"/>
                <w:szCs w:val="18"/>
                <w:highlight w:val="none"/>
              </w:rPr>
              <w:t>高度危害</w:t>
            </w:r>
          </w:p>
        </w:tc>
        <w:tc>
          <w:tcPr>
            <w:tcW w:w="4257" w:type="dxa"/>
            <w:vAlign w:val="center"/>
          </w:tcPr>
          <w:p>
            <w:pPr>
              <w:spacing w:line="200" w:lineRule="exact"/>
              <w:rPr>
                <w:rFonts w:ascii="宋体"/>
                <w:bCs/>
                <w:color w:val="auto"/>
                <w:sz w:val="18"/>
                <w:szCs w:val="18"/>
                <w:highlight w:val="none"/>
              </w:rPr>
            </w:pPr>
            <w:r>
              <w:rPr>
                <w:rFonts w:hint="eastAsia" w:ascii="宋体" w:hAnsi="宋体"/>
                <w:color w:val="auto"/>
                <w:kern w:val="0"/>
                <w:sz w:val="18"/>
                <w:szCs w:val="18"/>
                <w:highlight w:val="none"/>
              </w:rPr>
              <w:t>混和体积分数为</w:t>
            </w:r>
            <w:r>
              <w:rPr>
                <w:rFonts w:ascii="宋体" w:hAnsi="宋体"/>
                <w:color w:val="auto"/>
                <w:kern w:val="0"/>
                <w:sz w:val="18"/>
                <w:szCs w:val="18"/>
                <w:highlight w:val="none"/>
              </w:rPr>
              <w:t>5%</w:t>
            </w:r>
            <w:r>
              <w:rPr>
                <w:rFonts w:hint="eastAsia" w:ascii="宋体" w:hAnsi="宋体"/>
                <w:color w:val="auto"/>
                <w:kern w:val="0"/>
                <w:sz w:val="18"/>
                <w:szCs w:val="18"/>
                <w:highlight w:val="none"/>
              </w:rPr>
              <w:t>以上的氢气时遇强光可能会有爆炸主要通过呼吸道侵入人体并溶解在黏膜所含的水分里，生成次氯酸和盐酸，对上呼吸道黏膜造成损伤</w:t>
            </w:r>
            <w:r>
              <w:rPr>
                <w:rFonts w:ascii="宋体" w:hAnsi="宋体"/>
                <w:color w:val="auto"/>
                <w:kern w:val="0"/>
                <w:sz w:val="18"/>
                <w:szCs w:val="18"/>
                <w:highlight w:val="none"/>
              </w:rPr>
              <w:t>:</w:t>
            </w:r>
            <w:r>
              <w:rPr>
                <w:rFonts w:hint="eastAsia" w:ascii="宋体" w:hAnsi="宋体"/>
                <w:color w:val="auto"/>
                <w:kern w:val="0"/>
                <w:sz w:val="18"/>
                <w:szCs w:val="18"/>
                <w:highlight w:val="none"/>
              </w:rPr>
              <w:t>次氯酸使组织受到强烈的氧化</w:t>
            </w:r>
            <w:r>
              <w:rPr>
                <w:rFonts w:ascii="宋体" w:hAnsi="宋体"/>
                <w:color w:val="auto"/>
                <w:kern w:val="0"/>
                <w:sz w:val="18"/>
                <w:szCs w:val="18"/>
                <w:highlight w:val="none"/>
              </w:rPr>
              <w:t>;</w:t>
            </w:r>
            <w:r>
              <w:rPr>
                <w:rFonts w:hint="eastAsia" w:ascii="宋体" w:hAnsi="宋体"/>
                <w:color w:val="auto"/>
                <w:kern w:val="0"/>
                <w:sz w:val="18"/>
                <w:szCs w:val="18"/>
                <w:highlight w:val="none"/>
              </w:rPr>
              <w:t>盐酸刺激黏膜发生炎性肿胀，使呼吸道黏膜浮肿，大量分泌黏液，造成呼吸困难，所以</w:t>
            </w:r>
            <w:r>
              <w:rPr>
                <w:color w:val="auto"/>
                <w:highlight w:val="none"/>
              </w:rPr>
              <w:fldChar w:fldCharType="begin"/>
            </w:r>
            <w:r>
              <w:rPr>
                <w:color w:val="auto"/>
                <w:highlight w:val="none"/>
              </w:rPr>
              <w:instrText xml:space="preserve"> HYPERLINK "http://baike.so.com/doc/5334550-5569988.html" \t "_blank" </w:instrText>
            </w:r>
            <w:r>
              <w:rPr>
                <w:color w:val="auto"/>
                <w:highlight w:val="none"/>
              </w:rPr>
              <w:fldChar w:fldCharType="separate"/>
            </w:r>
            <w:r>
              <w:rPr>
                <w:rFonts w:hint="eastAsia" w:ascii="宋体" w:hAnsi="宋体"/>
                <w:color w:val="auto"/>
                <w:kern w:val="0"/>
                <w:sz w:val="18"/>
                <w:szCs w:val="18"/>
                <w:highlight w:val="none"/>
              </w:rPr>
              <w:t>氯气中毒</w:t>
            </w:r>
            <w:r>
              <w:rPr>
                <w:rFonts w:hint="eastAsia" w:ascii="宋体" w:hAnsi="宋体"/>
                <w:color w:val="auto"/>
                <w:kern w:val="0"/>
                <w:sz w:val="18"/>
                <w:szCs w:val="18"/>
                <w:highlight w:val="none"/>
              </w:rPr>
              <w:fldChar w:fldCharType="end"/>
            </w:r>
            <w:r>
              <w:rPr>
                <w:rFonts w:hint="eastAsia" w:ascii="宋体" w:hAnsi="宋体"/>
                <w:color w:val="auto"/>
                <w:kern w:val="0"/>
                <w:sz w:val="18"/>
                <w:szCs w:val="18"/>
                <w:highlight w:val="none"/>
              </w:rPr>
              <w:t>的明显症状是发生剧烈的咳嗽。症状重时，会发生肺水肿，使循环作用困难而致死亡。由食道进入人体的氯气会使人恶心、呕吐、胸口疼痛和腹泻。</w:t>
            </w:r>
            <w:r>
              <w:rPr>
                <w:rFonts w:ascii="宋体" w:hAnsi="宋体"/>
                <w:color w:val="auto"/>
                <w:kern w:val="0"/>
                <w:sz w:val="18"/>
                <w:szCs w:val="18"/>
                <w:highlight w:val="none"/>
              </w:rPr>
              <w:t>1L</w:t>
            </w:r>
            <w:r>
              <w:rPr>
                <w:rFonts w:hint="eastAsia" w:ascii="宋体" w:hAnsi="宋体"/>
                <w:color w:val="auto"/>
                <w:kern w:val="0"/>
                <w:sz w:val="18"/>
                <w:szCs w:val="18"/>
                <w:highlight w:val="none"/>
              </w:rPr>
              <w:t>空气中最多可允许含氯气</w:t>
            </w:r>
            <w:r>
              <w:rPr>
                <w:rFonts w:ascii="宋体" w:hAnsi="宋体"/>
                <w:color w:val="auto"/>
                <w:kern w:val="0"/>
                <w:sz w:val="18"/>
                <w:szCs w:val="18"/>
                <w:highlight w:val="none"/>
              </w:rPr>
              <w:t>1mg</w:t>
            </w:r>
            <w:r>
              <w:rPr>
                <w:rFonts w:hint="eastAsia" w:ascii="宋体" w:hAnsi="宋体"/>
                <w:color w:val="auto"/>
                <w:kern w:val="0"/>
                <w:sz w:val="18"/>
                <w:szCs w:val="18"/>
                <w:highlight w:val="none"/>
              </w:rPr>
              <w:t>，超过这个量就会引起人体中毒。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540" w:type="dxa"/>
            <w:vAlign w:val="center"/>
          </w:tcPr>
          <w:p>
            <w:pPr>
              <w:spacing w:line="200" w:lineRule="exact"/>
              <w:jc w:val="center"/>
              <w:rPr>
                <w:rFonts w:ascii="宋体"/>
                <w:bCs/>
                <w:color w:val="auto"/>
                <w:sz w:val="18"/>
                <w:szCs w:val="18"/>
                <w:highlight w:val="none"/>
              </w:rPr>
            </w:pPr>
            <w:r>
              <w:rPr>
                <w:rFonts w:ascii="宋体" w:hAnsi="宋体"/>
                <w:bCs/>
                <w:color w:val="auto"/>
                <w:sz w:val="18"/>
                <w:szCs w:val="18"/>
                <w:highlight w:val="none"/>
              </w:rPr>
              <w:t>2</w:t>
            </w:r>
          </w:p>
        </w:tc>
        <w:tc>
          <w:tcPr>
            <w:tcW w:w="1080" w:type="dxa"/>
            <w:vAlign w:val="center"/>
          </w:tcPr>
          <w:p>
            <w:pPr>
              <w:spacing w:line="200" w:lineRule="exact"/>
              <w:jc w:val="center"/>
              <w:rPr>
                <w:rFonts w:ascii="宋体"/>
                <w:bCs/>
                <w:color w:val="auto"/>
                <w:sz w:val="18"/>
                <w:szCs w:val="18"/>
                <w:highlight w:val="none"/>
              </w:rPr>
            </w:pPr>
            <w:r>
              <w:rPr>
                <w:rFonts w:hint="eastAsia" w:ascii="宋体" w:hAnsi="宋体"/>
                <w:bCs/>
                <w:color w:val="auto"/>
                <w:sz w:val="18"/>
                <w:szCs w:val="18"/>
                <w:highlight w:val="none"/>
              </w:rPr>
              <w:t>氢氧化钠</w:t>
            </w:r>
          </w:p>
          <w:p>
            <w:pPr>
              <w:spacing w:line="200" w:lineRule="exact"/>
              <w:jc w:val="center"/>
              <w:rPr>
                <w:rFonts w:ascii="宋体"/>
                <w:bCs/>
                <w:color w:val="auto"/>
                <w:sz w:val="18"/>
                <w:szCs w:val="18"/>
                <w:highlight w:val="none"/>
              </w:rPr>
            </w:pPr>
            <w:r>
              <w:rPr>
                <w:rFonts w:ascii="宋体" w:hAnsi="宋体"/>
                <w:bCs/>
                <w:color w:val="auto"/>
                <w:sz w:val="18"/>
                <w:szCs w:val="18"/>
                <w:highlight w:val="none"/>
              </w:rPr>
              <w:t>1824</w:t>
            </w:r>
          </w:p>
          <w:p>
            <w:pPr>
              <w:spacing w:line="200" w:lineRule="exact"/>
              <w:jc w:val="center"/>
              <w:rPr>
                <w:rFonts w:ascii="宋体"/>
                <w:bCs/>
                <w:color w:val="auto"/>
                <w:sz w:val="18"/>
                <w:szCs w:val="18"/>
                <w:highlight w:val="none"/>
              </w:rPr>
            </w:pPr>
            <w:r>
              <w:rPr>
                <w:rFonts w:ascii="宋体" w:hAnsi="宋体"/>
                <w:bCs/>
                <w:color w:val="auto"/>
                <w:sz w:val="18"/>
                <w:szCs w:val="18"/>
                <w:highlight w:val="none"/>
              </w:rPr>
              <w:t>82001</w:t>
            </w:r>
          </w:p>
        </w:tc>
        <w:tc>
          <w:tcPr>
            <w:tcW w:w="1260" w:type="dxa"/>
            <w:vAlign w:val="center"/>
          </w:tcPr>
          <w:p>
            <w:pPr>
              <w:spacing w:line="200" w:lineRule="exact"/>
              <w:jc w:val="center"/>
              <w:rPr>
                <w:rFonts w:ascii="宋体"/>
                <w:color w:val="auto"/>
                <w:sz w:val="18"/>
                <w:szCs w:val="18"/>
                <w:highlight w:val="none"/>
              </w:rPr>
            </w:pPr>
          </w:p>
        </w:tc>
        <w:tc>
          <w:tcPr>
            <w:tcW w:w="540" w:type="dxa"/>
            <w:vAlign w:val="center"/>
          </w:tcPr>
          <w:p>
            <w:pPr>
              <w:spacing w:line="200" w:lineRule="exact"/>
              <w:ind w:right="-55" w:rightChars="-26"/>
              <w:jc w:val="center"/>
              <w:rPr>
                <w:rFonts w:ascii="宋体"/>
                <w:bCs/>
                <w:color w:val="auto"/>
                <w:sz w:val="18"/>
                <w:szCs w:val="18"/>
                <w:highlight w:val="none"/>
              </w:rPr>
            </w:pPr>
            <w:r>
              <w:rPr>
                <w:rFonts w:ascii="宋体" w:hAnsi="宋体"/>
                <w:bCs/>
                <w:color w:val="auto"/>
                <w:sz w:val="18"/>
                <w:szCs w:val="18"/>
                <w:highlight w:val="none"/>
              </w:rPr>
              <w:t>2.12</w:t>
            </w:r>
          </w:p>
        </w:tc>
        <w:tc>
          <w:tcPr>
            <w:tcW w:w="540" w:type="dxa"/>
            <w:vAlign w:val="center"/>
          </w:tcPr>
          <w:p>
            <w:pPr>
              <w:spacing w:line="200" w:lineRule="exact"/>
              <w:ind w:right="-55" w:rightChars="-26"/>
              <w:jc w:val="center"/>
              <w:rPr>
                <w:rFonts w:ascii="宋体"/>
                <w:bCs/>
                <w:color w:val="auto"/>
                <w:sz w:val="18"/>
                <w:szCs w:val="18"/>
                <w:highlight w:val="none"/>
              </w:rPr>
            </w:pPr>
          </w:p>
        </w:tc>
        <w:tc>
          <w:tcPr>
            <w:tcW w:w="540" w:type="dxa"/>
            <w:vAlign w:val="center"/>
          </w:tcPr>
          <w:p>
            <w:pPr>
              <w:spacing w:line="200" w:lineRule="exact"/>
              <w:ind w:right="-55" w:rightChars="-26"/>
              <w:jc w:val="center"/>
              <w:rPr>
                <w:rFonts w:ascii="宋体"/>
                <w:bCs/>
                <w:color w:val="auto"/>
                <w:sz w:val="18"/>
                <w:szCs w:val="18"/>
                <w:highlight w:val="none"/>
              </w:rPr>
            </w:pPr>
          </w:p>
        </w:tc>
        <w:tc>
          <w:tcPr>
            <w:tcW w:w="795" w:type="dxa"/>
            <w:vAlign w:val="center"/>
          </w:tcPr>
          <w:p>
            <w:pPr>
              <w:spacing w:line="200" w:lineRule="exact"/>
              <w:ind w:right="-55" w:rightChars="-26"/>
              <w:jc w:val="center"/>
              <w:rPr>
                <w:rFonts w:ascii="宋体"/>
                <w:bCs/>
                <w:color w:val="auto"/>
                <w:sz w:val="18"/>
                <w:szCs w:val="18"/>
                <w:highlight w:val="none"/>
              </w:rPr>
            </w:pPr>
            <w:r>
              <w:rPr>
                <w:rFonts w:ascii="宋体" w:hAnsi="宋体"/>
                <w:bCs/>
                <w:color w:val="auto"/>
                <w:sz w:val="18"/>
                <w:szCs w:val="18"/>
                <w:highlight w:val="none"/>
              </w:rPr>
              <w:t>318.4</w:t>
            </w:r>
          </w:p>
        </w:tc>
        <w:tc>
          <w:tcPr>
            <w:tcW w:w="825" w:type="dxa"/>
            <w:vAlign w:val="center"/>
          </w:tcPr>
          <w:p>
            <w:pPr>
              <w:spacing w:line="200" w:lineRule="exact"/>
              <w:ind w:right="-55" w:rightChars="-26"/>
              <w:jc w:val="center"/>
              <w:rPr>
                <w:rFonts w:ascii="宋体"/>
                <w:bCs/>
                <w:color w:val="auto"/>
                <w:sz w:val="18"/>
                <w:szCs w:val="18"/>
                <w:highlight w:val="none"/>
              </w:rPr>
            </w:pPr>
            <w:r>
              <w:rPr>
                <w:rFonts w:ascii="宋体" w:hAnsi="宋体"/>
                <w:bCs/>
                <w:color w:val="auto"/>
                <w:sz w:val="18"/>
                <w:szCs w:val="18"/>
                <w:highlight w:val="none"/>
              </w:rPr>
              <w:t>1390</w:t>
            </w:r>
          </w:p>
        </w:tc>
        <w:tc>
          <w:tcPr>
            <w:tcW w:w="789" w:type="dxa"/>
            <w:vAlign w:val="center"/>
          </w:tcPr>
          <w:p>
            <w:pPr>
              <w:spacing w:line="200" w:lineRule="exact"/>
              <w:ind w:right="-55" w:rightChars="-26"/>
              <w:jc w:val="center"/>
              <w:rPr>
                <w:rFonts w:ascii="宋体"/>
                <w:bCs/>
                <w:color w:val="auto"/>
                <w:sz w:val="18"/>
                <w:szCs w:val="18"/>
                <w:highlight w:val="none"/>
              </w:rPr>
            </w:pPr>
          </w:p>
        </w:tc>
        <w:tc>
          <w:tcPr>
            <w:tcW w:w="720" w:type="dxa"/>
            <w:vAlign w:val="center"/>
          </w:tcPr>
          <w:p>
            <w:pPr>
              <w:spacing w:line="200" w:lineRule="exact"/>
              <w:ind w:right="-55" w:rightChars="-26"/>
              <w:jc w:val="center"/>
              <w:rPr>
                <w:rFonts w:ascii="宋体"/>
                <w:bCs/>
                <w:color w:val="auto"/>
                <w:sz w:val="18"/>
                <w:szCs w:val="18"/>
                <w:highlight w:val="none"/>
              </w:rPr>
            </w:pPr>
            <w:r>
              <w:rPr>
                <w:rFonts w:hint="eastAsia" w:ascii="宋体" w:hAnsi="宋体"/>
                <w:bCs/>
                <w:color w:val="auto"/>
                <w:sz w:val="18"/>
                <w:szCs w:val="18"/>
                <w:highlight w:val="none"/>
              </w:rPr>
              <w:t>戊类</w:t>
            </w:r>
          </w:p>
        </w:tc>
        <w:tc>
          <w:tcPr>
            <w:tcW w:w="714" w:type="dxa"/>
            <w:vAlign w:val="center"/>
          </w:tcPr>
          <w:p>
            <w:pPr>
              <w:spacing w:line="200" w:lineRule="exact"/>
              <w:ind w:right="-55" w:rightChars="-26"/>
              <w:jc w:val="center"/>
              <w:rPr>
                <w:rFonts w:ascii="宋体"/>
                <w:bCs/>
                <w:color w:val="auto"/>
                <w:sz w:val="18"/>
                <w:szCs w:val="18"/>
                <w:highlight w:val="none"/>
              </w:rPr>
            </w:pPr>
          </w:p>
        </w:tc>
        <w:tc>
          <w:tcPr>
            <w:tcW w:w="900" w:type="dxa"/>
            <w:vAlign w:val="center"/>
          </w:tcPr>
          <w:p>
            <w:pPr>
              <w:spacing w:line="200" w:lineRule="exact"/>
              <w:ind w:right="-55" w:rightChars="-26"/>
              <w:jc w:val="center"/>
              <w:rPr>
                <w:rFonts w:ascii="宋体"/>
                <w:bCs/>
                <w:color w:val="auto"/>
                <w:sz w:val="18"/>
                <w:szCs w:val="18"/>
                <w:highlight w:val="none"/>
              </w:rPr>
            </w:pPr>
          </w:p>
        </w:tc>
        <w:tc>
          <w:tcPr>
            <w:tcW w:w="540" w:type="dxa"/>
            <w:vAlign w:val="center"/>
          </w:tcPr>
          <w:p>
            <w:pPr>
              <w:spacing w:line="200" w:lineRule="exact"/>
              <w:ind w:right="-55" w:rightChars="-26"/>
              <w:jc w:val="center"/>
              <w:rPr>
                <w:rFonts w:ascii="宋体"/>
                <w:color w:val="auto"/>
                <w:kern w:val="0"/>
                <w:sz w:val="18"/>
                <w:szCs w:val="18"/>
                <w:highlight w:val="none"/>
              </w:rPr>
            </w:pPr>
            <w:r>
              <w:rPr>
                <w:rFonts w:hint="eastAsia" w:ascii="宋体" w:hAnsi="宋体"/>
                <w:color w:val="auto"/>
                <w:kern w:val="0"/>
                <w:sz w:val="18"/>
                <w:szCs w:val="18"/>
                <w:highlight w:val="none"/>
              </w:rPr>
              <w:t>轻度危害</w:t>
            </w:r>
          </w:p>
        </w:tc>
        <w:tc>
          <w:tcPr>
            <w:tcW w:w="4257" w:type="dxa"/>
            <w:vAlign w:val="center"/>
          </w:tcPr>
          <w:p>
            <w:pPr>
              <w:spacing w:line="200" w:lineRule="exact"/>
              <w:ind w:right="-55" w:rightChars="-26"/>
              <w:rPr>
                <w:rFonts w:ascii="宋体"/>
                <w:color w:val="auto"/>
                <w:kern w:val="0"/>
                <w:sz w:val="18"/>
                <w:szCs w:val="18"/>
                <w:highlight w:val="none"/>
              </w:rPr>
            </w:pPr>
            <w:r>
              <w:rPr>
                <w:rFonts w:hint="eastAsia" w:ascii="宋体" w:hAnsi="宋体"/>
                <w:color w:val="auto"/>
                <w:kern w:val="0"/>
                <w:sz w:val="18"/>
                <w:szCs w:val="18"/>
                <w:highlight w:val="none"/>
              </w:rPr>
              <w:t>与酸发生中和反应并放热。遇潮时对铝、锌、和锡有腐蚀性，并放出易燃易爆的氢气。本品不会燃烧，遇水和水蒸汽大量放热，形成腐蚀性溶液。具有强腐蚀性</w:t>
            </w:r>
          </w:p>
        </w:tc>
      </w:tr>
    </w:tbl>
    <w:p>
      <w:pPr>
        <w:pStyle w:val="33"/>
        <w:spacing w:line="560" w:lineRule="exact"/>
        <w:ind w:firstLine="31680"/>
        <w:rPr>
          <w:rFonts w:ascii="宋体" w:cs="宋体"/>
          <w:color w:val="auto"/>
          <w:sz w:val="28"/>
          <w:szCs w:val="28"/>
          <w:highlight w:val="none"/>
        </w:rPr>
        <w:sectPr>
          <w:pgSz w:w="16838" w:h="11906" w:orient="landscape"/>
          <w:pgMar w:top="1800" w:right="1440" w:bottom="1800" w:left="1440" w:header="851" w:footer="992" w:gutter="0"/>
          <w:cols w:space="425" w:num="1"/>
          <w:docGrid w:type="lines" w:linePitch="312" w:charSpace="0"/>
        </w:sectPr>
      </w:pPr>
    </w:p>
    <w:p>
      <w:pPr>
        <w:pStyle w:val="33"/>
        <w:spacing w:line="560" w:lineRule="exact"/>
        <w:ind w:firstLine="31680"/>
        <w:outlineLvl w:val="1"/>
        <w:rPr>
          <w:rFonts w:ascii="宋体" w:cs="宋体"/>
          <w:color w:val="auto"/>
          <w:sz w:val="28"/>
          <w:szCs w:val="28"/>
          <w:highlight w:val="none"/>
        </w:rPr>
      </w:pPr>
      <w:bookmarkStart w:id="1092" w:name="_Toc12970"/>
      <w:bookmarkStart w:id="1093" w:name="_Toc503433310"/>
      <w:bookmarkStart w:id="1094" w:name="_Toc2540"/>
      <w:bookmarkStart w:id="1095" w:name="_Toc7676"/>
      <w:bookmarkStart w:id="1096" w:name="_Toc32161"/>
      <w:bookmarkStart w:id="1097" w:name="_Toc24876"/>
      <w:bookmarkStart w:id="1098" w:name="_Toc7825"/>
      <w:bookmarkStart w:id="1099" w:name="_Toc20596"/>
      <w:bookmarkStart w:id="1100" w:name="_Toc21455"/>
      <w:bookmarkStart w:id="1101" w:name="_Toc20206"/>
      <w:bookmarkStart w:id="1102" w:name="_Toc17709"/>
      <w:bookmarkStart w:id="1103" w:name="_Toc13716"/>
      <w:bookmarkStart w:id="1104" w:name="_Toc18566"/>
      <w:bookmarkStart w:id="1105" w:name="_Toc5633"/>
      <w:bookmarkStart w:id="1106" w:name="_Toc8550"/>
      <w:bookmarkStart w:id="1107" w:name="_Toc23947"/>
      <w:bookmarkStart w:id="1108" w:name="_Toc6219"/>
      <w:bookmarkStart w:id="1109" w:name="_Toc9239"/>
      <w:bookmarkStart w:id="1110" w:name="_Toc9773"/>
      <w:bookmarkStart w:id="1111" w:name="_Toc14056"/>
      <w:r>
        <w:rPr>
          <w:rFonts w:ascii="宋体" w:hAnsi="宋体" w:cs="宋体"/>
          <w:color w:val="auto"/>
          <w:sz w:val="28"/>
          <w:szCs w:val="28"/>
          <w:highlight w:val="none"/>
        </w:rPr>
        <w:t xml:space="preserve">12.4 </w:t>
      </w:r>
      <w:r>
        <w:rPr>
          <w:rFonts w:hint="eastAsia" w:ascii="宋体" w:hAnsi="宋体" w:cs="宋体"/>
          <w:color w:val="auto"/>
          <w:sz w:val="28"/>
          <w:szCs w:val="28"/>
          <w:highlight w:val="none"/>
        </w:rPr>
        <w:t>劳动安全卫生主要措施</w:t>
      </w:r>
      <w:bookmarkEnd w:id="1092"/>
      <w:bookmarkEnd w:id="1093"/>
      <w:bookmarkEnd w:id="1094"/>
      <w:bookmarkEnd w:id="1095"/>
      <w:bookmarkEnd w:id="1096"/>
      <w:bookmarkEnd w:id="1097"/>
    </w:p>
    <w:p>
      <w:pPr>
        <w:pStyle w:val="33"/>
        <w:spacing w:line="560" w:lineRule="exact"/>
        <w:ind w:firstLine="31680"/>
        <w:rPr>
          <w:rFonts w:ascii="宋体" w:cs="宋体"/>
          <w:color w:val="auto"/>
          <w:sz w:val="28"/>
          <w:szCs w:val="28"/>
          <w:highlight w:val="none"/>
        </w:rPr>
      </w:pPr>
      <w:bookmarkStart w:id="1112" w:name="_Toc3424"/>
      <w:r>
        <w:rPr>
          <w:rFonts w:ascii="宋体" w:hAnsi="宋体" w:cs="宋体"/>
          <w:color w:val="auto"/>
          <w:sz w:val="28"/>
          <w:szCs w:val="28"/>
          <w:highlight w:val="none"/>
        </w:rPr>
        <w:t>12.4.1</w:t>
      </w:r>
      <w:r>
        <w:rPr>
          <w:rFonts w:hint="eastAsia" w:ascii="宋体" w:hAnsi="宋体" w:cs="宋体"/>
          <w:color w:val="auto"/>
          <w:sz w:val="28"/>
          <w:szCs w:val="28"/>
          <w:highlight w:val="none"/>
        </w:rPr>
        <w:t>设计原则</w:t>
      </w:r>
      <w:bookmarkEnd w:id="1112"/>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本设计贯彻“安全第一，预防为主”的方针，安全卫生设施必须执行与主体工程同时设计、同时施工、同时投产的“三同时”制度，以保证企业生产安全，保证人民生命财产的安全。</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本设计充分依靠江苏索普新材料科技有限公司的组织管理机构和设施。</w:t>
      </w:r>
    </w:p>
    <w:p>
      <w:pPr>
        <w:pStyle w:val="33"/>
        <w:spacing w:line="560" w:lineRule="exact"/>
        <w:ind w:firstLine="31680"/>
        <w:rPr>
          <w:rFonts w:ascii="宋体" w:cs="宋体"/>
          <w:color w:val="auto"/>
          <w:sz w:val="28"/>
          <w:szCs w:val="28"/>
          <w:highlight w:val="none"/>
        </w:rPr>
      </w:pPr>
      <w:bookmarkStart w:id="1113" w:name="_Toc2508"/>
      <w:r>
        <w:rPr>
          <w:rFonts w:ascii="宋体" w:hAnsi="宋体" w:cs="宋体"/>
          <w:color w:val="auto"/>
          <w:sz w:val="28"/>
          <w:szCs w:val="28"/>
          <w:highlight w:val="none"/>
        </w:rPr>
        <w:t>12.4.2</w:t>
      </w:r>
      <w:r>
        <w:rPr>
          <w:rFonts w:hint="eastAsia" w:ascii="宋体" w:hAnsi="宋体" w:cs="宋体"/>
          <w:color w:val="auto"/>
          <w:sz w:val="28"/>
          <w:szCs w:val="28"/>
          <w:highlight w:val="none"/>
        </w:rPr>
        <w:t>安全措施</w:t>
      </w:r>
      <w:bookmarkEnd w:id="1113"/>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1</w:t>
      </w:r>
      <w:r>
        <w:rPr>
          <w:rFonts w:hint="eastAsia" w:ascii="宋体" w:hAnsi="宋体" w:cs="宋体"/>
          <w:color w:val="auto"/>
          <w:sz w:val="28"/>
          <w:szCs w:val="28"/>
          <w:highlight w:val="none"/>
        </w:rPr>
        <w:t>）总图</w:t>
      </w:r>
    </w:p>
    <w:p>
      <w:pPr>
        <w:pStyle w:val="33"/>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1</w:t>
      </w:r>
      <w:r>
        <w:rPr>
          <w:rFonts w:hint="eastAsia" w:ascii="宋体" w:hAnsi="宋体" w:cs="宋体"/>
          <w:color w:val="auto"/>
          <w:sz w:val="28"/>
          <w:szCs w:val="28"/>
          <w:highlight w:val="none"/>
        </w:rPr>
        <w:t>）总平面布置图严格执行《建筑设计防火规范》【</w:t>
      </w:r>
      <w:r>
        <w:rPr>
          <w:rFonts w:ascii="宋体" w:hAnsi="宋体" w:cs="宋体"/>
          <w:color w:val="auto"/>
          <w:sz w:val="28"/>
          <w:szCs w:val="28"/>
          <w:highlight w:val="none"/>
        </w:rPr>
        <w:t>2018</w:t>
      </w:r>
      <w:r>
        <w:rPr>
          <w:rFonts w:hint="eastAsia" w:ascii="宋体" w:hAnsi="宋体" w:cs="宋体"/>
          <w:color w:val="auto"/>
          <w:sz w:val="28"/>
          <w:szCs w:val="28"/>
          <w:highlight w:val="none"/>
        </w:rPr>
        <w:t>版】（</w:t>
      </w:r>
      <w:r>
        <w:rPr>
          <w:rFonts w:ascii="宋体" w:hAnsi="宋体" w:cs="宋体"/>
          <w:color w:val="auto"/>
          <w:sz w:val="28"/>
          <w:szCs w:val="28"/>
          <w:highlight w:val="none"/>
        </w:rPr>
        <w:t>GB50016-2014</w:t>
      </w:r>
      <w:r>
        <w:rPr>
          <w:rFonts w:hint="eastAsia" w:ascii="宋体" w:hAnsi="宋体" w:cs="宋体"/>
          <w:color w:val="auto"/>
          <w:sz w:val="28"/>
          <w:szCs w:val="28"/>
          <w:highlight w:val="none"/>
        </w:rPr>
        <w:t>）、《石油化工防火设计规范》【</w:t>
      </w:r>
      <w:r>
        <w:rPr>
          <w:rFonts w:ascii="宋体" w:hAnsi="宋体" w:cs="宋体"/>
          <w:color w:val="auto"/>
          <w:sz w:val="28"/>
          <w:szCs w:val="28"/>
          <w:highlight w:val="none"/>
        </w:rPr>
        <w:t>2018</w:t>
      </w:r>
      <w:r>
        <w:rPr>
          <w:rFonts w:hint="eastAsia" w:ascii="宋体" w:hAnsi="宋体" w:cs="宋体"/>
          <w:color w:val="auto"/>
          <w:sz w:val="28"/>
          <w:szCs w:val="28"/>
          <w:highlight w:val="none"/>
        </w:rPr>
        <w:t>版】（</w:t>
      </w:r>
      <w:r>
        <w:rPr>
          <w:rFonts w:ascii="宋体" w:hAnsi="宋体" w:cs="宋体"/>
          <w:color w:val="auto"/>
          <w:sz w:val="28"/>
          <w:szCs w:val="28"/>
          <w:highlight w:val="none"/>
        </w:rPr>
        <w:t>GB50160-2008</w:t>
      </w:r>
      <w:r>
        <w:rPr>
          <w:rFonts w:hint="eastAsia" w:ascii="宋体" w:hAnsi="宋体" w:cs="宋体"/>
          <w:color w:val="auto"/>
          <w:sz w:val="28"/>
          <w:szCs w:val="28"/>
          <w:highlight w:val="none"/>
        </w:rPr>
        <w:t>）。工厂或设施的间距符合有关规范要求。</w:t>
      </w:r>
    </w:p>
    <w:p>
      <w:pPr>
        <w:pStyle w:val="33"/>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2</w:t>
      </w:r>
      <w:r>
        <w:rPr>
          <w:rFonts w:hint="eastAsia" w:ascii="宋体" w:hAnsi="宋体" w:cs="宋体"/>
          <w:color w:val="auto"/>
          <w:sz w:val="28"/>
          <w:szCs w:val="28"/>
          <w:highlight w:val="none"/>
        </w:rPr>
        <w:t>）厂区平面布置图中生产装置、厂房及原料、成品仓库与其它建筑物之间满足防火间距的要求，并设置足够的消防器材、火灾报警系统、毒害气体检测报警系统、高压消防水系统，以达到防火灭火的要求。</w:t>
      </w:r>
    </w:p>
    <w:p>
      <w:pPr>
        <w:pStyle w:val="33"/>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3</w:t>
      </w:r>
      <w:r>
        <w:rPr>
          <w:rFonts w:hint="eastAsia" w:ascii="宋体" w:hAnsi="宋体" w:cs="宋体"/>
          <w:color w:val="auto"/>
          <w:sz w:val="28"/>
          <w:szCs w:val="28"/>
          <w:highlight w:val="none"/>
        </w:rPr>
        <w:t>）采用架空电力线路进出厂区的总变电站，布置在厂区的边缘，居甲类生产厂房或者库区的距离不小于</w:t>
      </w:r>
      <w:r>
        <w:rPr>
          <w:rFonts w:ascii="宋体" w:hAnsi="宋体" w:cs="宋体"/>
          <w:color w:val="auto"/>
          <w:sz w:val="28"/>
          <w:szCs w:val="28"/>
          <w:highlight w:val="none"/>
        </w:rPr>
        <w:t>25</w:t>
      </w:r>
      <w:r>
        <w:rPr>
          <w:rFonts w:hint="eastAsia" w:ascii="宋体" w:hAnsi="宋体" w:cs="宋体"/>
          <w:color w:val="auto"/>
          <w:sz w:val="28"/>
          <w:szCs w:val="28"/>
          <w:highlight w:val="none"/>
        </w:rPr>
        <w:t>米。</w:t>
      </w:r>
    </w:p>
    <w:p>
      <w:pPr>
        <w:pStyle w:val="33"/>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4</w:t>
      </w:r>
      <w:r>
        <w:rPr>
          <w:rFonts w:hint="eastAsia" w:ascii="宋体" w:hAnsi="宋体" w:cs="宋体"/>
          <w:color w:val="auto"/>
          <w:sz w:val="28"/>
          <w:szCs w:val="28"/>
          <w:highlight w:val="none"/>
        </w:rPr>
        <w:t>）按照办公生活区与生产区域分开的原则，办公生活区与生产区域的间距符合安全要求，采用了绿化带进一步降低有害物质的影响。生产区域未设置职工宿舍等生活设施，无生产用房、仓库、职工宿舍“三合一”的现象。</w:t>
      </w:r>
    </w:p>
    <w:p>
      <w:pPr>
        <w:pStyle w:val="33"/>
        <w:spacing w:line="560" w:lineRule="exact"/>
        <w:ind w:firstLine="31680"/>
        <w:rPr>
          <w:rFonts w:ascii="宋体" w:cs="宋体"/>
          <w:color w:val="auto"/>
          <w:sz w:val="28"/>
          <w:szCs w:val="28"/>
          <w:highlight w:val="none"/>
        </w:rPr>
      </w:pPr>
      <w:r>
        <w:rPr>
          <w:rFonts w:ascii="宋体" w:hAnsi="宋体" w:cs="宋体"/>
          <w:color w:val="auto"/>
          <w:sz w:val="28"/>
          <w:szCs w:val="28"/>
          <w:highlight w:val="none"/>
        </w:rPr>
        <w:t>5</w:t>
      </w:r>
      <w:r>
        <w:rPr>
          <w:rFonts w:hint="eastAsia" w:ascii="宋体" w:hAnsi="宋体" w:cs="宋体"/>
          <w:color w:val="auto"/>
          <w:sz w:val="28"/>
          <w:szCs w:val="28"/>
          <w:highlight w:val="none"/>
        </w:rPr>
        <w:t>）道路布置满足《建筑设计防火规范》的要求，做到人货分流，运输车辆不允许进入主要生产区域：消防道路的净宽和净空高度均不小于</w:t>
      </w:r>
      <w:r>
        <w:rPr>
          <w:rFonts w:ascii="宋体" w:hAnsi="宋体" w:cs="宋体"/>
          <w:color w:val="auto"/>
          <w:sz w:val="28"/>
          <w:szCs w:val="28"/>
          <w:highlight w:val="none"/>
        </w:rPr>
        <w:t>5m</w:t>
      </w:r>
      <w:r>
        <w:rPr>
          <w:rFonts w:hint="eastAsia" w:ascii="宋体" w:hAnsi="宋体" w:cs="宋体"/>
          <w:color w:val="auto"/>
          <w:sz w:val="28"/>
          <w:szCs w:val="28"/>
          <w:highlight w:val="none"/>
        </w:rPr>
        <w:t>。</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2</w:t>
      </w:r>
      <w:r>
        <w:rPr>
          <w:rFonts w:hint="eastAsia" w:ascii="宋体" w:hAnsi="宋体" w:cs="宋体"/>
          <w:color w:val="auto"/>
          <w:sz w:val="28"/>
          <w:szCs w:val="28"/>
          <w:highlight w:val="none"/>
        </w:rPr>
        <w:t>）防火防爆措施</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本项目生产装置采用自动化控制，设有报警联锁和紧急切断装置等。</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本项目涉及易燃液体的场所设置可燃气体泄漏报警探头，报警信号送</w:t>
      </w:r>
      <w:r>
        <w:rPr>
          <w:rFonts w:ascii="宋体" w:hAnsi="宋体" w:cs="宋体"/>
          <w:color w:val="auto"/>
          <w:sz w:val="28"/>
          <w:szCs w:val="28"/>
          <w:highlight w:val="none"/>
        </w:rPr>
        <w:t>24</w:t>
      </w:r>
      <w:r>
        <w:rPr>
          <w:rFonts w:hint="eastAsia" w:ascii="宋体" w:hAnsi="宋体" w:cs="宋体"/>
          <w:color w:val="auto"/>
          <w:sz w:val="28"/>
          <w:szCs w:val="28"/>
          <w:highlight w:val="none"/>
        </w:rPr>
        <w:t>小时有人值守的控制室。</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在爆炸区域范围内所有电气设备均采用防爆型。</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设备、管道进行静电接地和跨接，防止静电积聚。</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根据火灾危险类别和工艺特点，设置手持式灭火器及推车式灭火器。</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3</w:t>
      </w:r>
      <w:r>
        <w:rPr>
          <w:rFonts w:hint="eastAsia" w:ascii="宋体" w:hAnsi="宋体" w:cs="宋体"/>
          <w:color w:val="auto"/>
          <w:sz w:val="28"/>
          <w:szCs w:val="28"/>
          <w:highlight w:val="none"/>
        </w:rPr>
        <w:t>）防腐蚀、防高温措施</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高温设备、管线均采取保温措施，同时加强个体防护，防止发生高温灼伤。腐蚀性介质的设备、管道要用耐腐蚀材料。其它各装置根据工作环境特点配备各种必须的防护用具和用品。包括眼面防护用具、工业安全帽、工作帽、防护手套、防护鞋靴、防毒面具、耳塞、耳罩及护肤用品等。</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4</w:t>
      </w:r>
      <w:r>
        <w:rPr>
          <w:rFonts w:hint="eastAsia" w:ascii="宋体" w:hAnsi="宋体" w:cs="宋体"/>
          <w:color w:val="auto"/>
          <w:sz w:val="28"/>
          <w:szCs w:val="28"/>
          <w:highlight w:val="none"/>
        </w:rPr>
        <w:t>）防雷、防静电措施</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工艺装置区建筑物、构筑物的防雷分类及防雷措施，均按《建筑物防雷设计规范》（</w:t>
      </w:r>
      <w:r>
        <w:rPr>
          <w:rFonts w:ascii="宋体" w:hAnsi="宋体" w:cs="宋体"/>
          <w:color w:val="auto"/>
          <w:sz w:val="28"/>
          <w:szCs w:val="28"/>
          <w:highlight w:val="none"/>
        </w:rPr>
        <w:t>GB50057-2010</w:t>
      </w:r>
      <w:r>
        <w:rPr>
          <w:rFonts w:hint="eastAsia" w:ascii="宋体" w:hAnsi="宋体" w:cs="宋体"/>
          <w:color w:val="auto"/>
          <w:sz w:val="28"/>
          <w:szCs w:val="28"/>
          <w:highlight w:val="none"/>
        </w:rPr>
        <w:t>）的要求进行设计。具有火灾爆炸危险的生产装置设防静电接地系统。所有金属外壳不带电的用电设备均需可靠接地。工作接地、安全接地、防雷接地、防静电接地公用接地网，并与全厂接地网相连。</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5</w:t>
      </w:r>
      <w:r>
        <w:rPr>
          <w:rFonts w:hint="eastAsia" w:ascii="宋体" w:hAnsi="宋体" w:cs="宋体"/>
          <w:color w:val="auto"/>
          <w:sz w:val="28"/>
          <w:szCs w:val="28"/>
          <w:highlight w:val="none"/>
        </w:rPr>
        <w:t>）机械伤害、高处坠落的防范措施</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对高速旋转或往复运动的机械零件部件设计可靠的防护器、挡板或安全围栏。传运输设备、皮带输送线设计带有栏杆的安全走道，爬梯平台设有扶手和护围等。高空设备上的扶手和护栏，严格依据相关规范进行设计。</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6</w:t>
      </w:r>
      <w:r>
        <w:rPr>
          <w:rFonts w:hint="eastAsia" w:ascii="宋体" w:hAnsi="宋体" w:cs="宋体"/>
          <w:color w:val="auto"/>
          <w:sz w:val="28"/>
          <w:szCs w:val="28"/>
          <w:highlight w:val="none"/>
        </w:rPr>
        <w:t>）噪声防治措施</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防噪措施根据《工业企业设计卫生标准》、《工业企业噪声控制设计规范》等相关标准进行。在设备选型时首先选用低噪声设备，必要时采取消声、隔声、吸声、隔振或综合控制措施；管道设计与调节阀的选型做到防止振动和噪声，管道截面力求不突变；管道与强烈振动的设备连接处具有一定的柔性。</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在噪声源集中的厂房，设置隔声工作间；对噪声超标的放空口设置消声器。主装置全自动化操作</w:t>
      </w:r>
      <w:r>
        <w:rPr>
          <w:rFonts w:ascii="宋体" w:cs="宋体"/>
          <w:color w:val="auto"/>
          <w:sz w:val="28"/>
          <w:szCs w:val="28"/>
          <w:highlight w:val="none"/>
        </w:rPr>
        <w:t>,</w:t>
      </w:r>
      <w:r>
        <w:rPr>
          <w:rFonts w:hint="eastAsia" w:ascii="宋体" w:hAnsi="宋体" w:cs="宋体"/>
          <w:color w:val="auto"/>
          <w:sz w:val="28"/>
          <w:szCs w:val="28"/>
          <w:highlight w:val="none"/>
        </w:rPr>
        <w:t>岗位无操作人员</w:t>
      </w:r>
      <w:r>
        <w:rPr>
          <w:rFonts w:ascii="宋体" w:cs="宋体"/>
          <w:color w:val="auto"/>
          <w:sz w:val="28"/>
          <w:szCs w:val="28"/>
          <w:highlight w:val="none"/>
        </w:rPr>
        <w:t>,</w:t>
      </w:r>
      <w:r>
        <w:rPr>
          <w:rFonts w:hint="eastAsia" w:ascii="宋体" w:hAnsi="宋体" w:cs="宋体"/>
          <w:color w:val="auto"/>
          <w:sz w:val="28"/>
          <w:szCs w:val="28"/>
          <w:highlight w:val="none"/>
        </w:rPr>
        <w:t>对出入高噪声区的人员必须配带耳塞或耳罩等防护用品。</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7</w:t>
      </w:r>
      <w:r>
        <w:rPr>
          <w:rFonts w:hint="eastAsia" w:ascii="宋体" w:hAnsi="宋体" w:cs="宋体"/>
          <w:color w:val="auto"/>
          <w:sz w:val="28"/>
          <w:szCs w:val="28"/>
          <w:highlight w:val="none"/>
        </w:rPr>
        <w:t>）安全教育</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对职工必须经过三级安全教育，并通过考试，考试合格后方可上岗。加强安全防范意识，掌握安全知识，提高员工的应对能力。</w:t>
      </w:r>
    </w:p>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8</w:t>
      </w:r>
      <w:r>
        <w:rPr>
          <w:rFonts w:hint="eastAsia" w:ascii="宋体" w:hAnsi="宋体" w:cs="宋体"/>
          <w:color w:val="auto"/>
          <w:sz w:val="28"/>
          <w:szCs w:val="28"/>
          <w:highlight w:val="none"/>
        </w:rPr>
        <w:t>）其它安全措施</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在有危险的场所设置相应的安全栏杆、网、盖板等防护措施，设置安全色、安全标志和事故照明。对设备、管道定期检修，保证生产设备的完好率，在生产过程中存在机械伤害、物体打击、高空坠落、触电等危险、有害因素。</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9</w:t>
      </w:r>
      <w:r>
        <w:rPr>
          <w:rFonts w:hint="eastAsia" w:ascii="宋体" w:hAnsi="宋体" w:cs="宋体"/>
          <w:color w:val="auto"/>
          <w:sz w:val="28"/>
          <w:szCs w:val="28"/>
          <w:highlight w:val="none"/>
        </w:rPr>
        <w:t>）应急预案的制订和演练</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根据国家安监总局发布的事故应急预案编制导则（单位版）编制应急救援预案，配备应急救援器材，并经常演练，做到熟练掌握各种应急措施，通讯联络等各方面的知识和技能，建立应急反应体系，熟练处理突发事件，以使事故的损失减至最小。</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w:t>
      </w:r>
      <w:r>
        <w:rPr>
          <w:rFonts w:ascii="宋体" w:hAnsi="宋体" w:cs="宋体"/>
          <w:color w:val="auto"/>
          <w:sz w:val="28"/>
          <w:szCs w:val="28"/>
          <w:highlight w:val="none"/>
        </w:rPr>
        <w:t>10</w:t>
      </w:r>
      <w:r>
        <w:rPr>
          <w:rFonts w:hint="eastAsia" w:ascii="宋体" w:hAnsi="宋体" w:cs="宋体"/>
          <w:color w:val="auto"/>
          <w:sz w:val="28"/>
          <w:szCs w:val="28"/>
          <w:highlight w:val="none"/>
        </w:rPr>
        <w:t>）制订各种规章制度，严格保证生产活动中有章可循，确保安全、环保、职业卫生工作的正常进行。</w:t>
      </w:r>
    </w:p>
    <w:p>
      <w:pPr>
        <w:pStyle w:val="33"/>
        <w:spacing w:line="560" w:lineRule="exact"/>
        <w:ind w:firstLine="31680"/>
        <w:outlineLvl w:val="1"/>
        <w:rPr>
          <w:rFonts w:ascii="宋体" w:cs="宋体"/>
          <w:color w:val="auto"/>
          <w:sz w:val="28"/>
          <w:szCs w:val="28"/>
          <w:highlight w:val="none"/>
        </w:rPr>
      </w:pPr>
      <w:bookmarkStart w:id="1114" w:name="_Toc22595"/>
      <w:bookmarkStart w:id="1115" w:name="_Toc25345"/>
      <w:bookmarkStart w:id="1116" w:name="_Toc3647"/>
      <w:bookmarkStart w:id="1117" w:name="_Toc17154"/>
      <w:bookmarkStart w:id="1118" w:name="_Toc9345"/>
      <w:bookmarkStart w:id="1119" w:name="_Toc31761"/>
      <w:bookmarkStart w:id="1120" w:name="_Toc9396"/>
      <w:bookmarkStart w:id="1121" w:name="_Toc9866"/>
      <w:bookmarkStart w:id="1122" w:name="_Toc3755"/>
      <w:bookmarkStart w:id="1123" w:name="_Toc11303"/>
      <w:bookmarkStart w:id="1124" w:name="_Toc23655"/>
      <w:bookmarkStart w:id="1125" w:name="_Toc8612"/>
      <w:bookmarkStart w:id="1126" w:name="_Toc26425"/>
      <w:bookmarkStart w:id="1127" w:name="_Toc10944"/>
      <w:bookmarkStart w:id="1128" w:name="_Toc22307"/>
      <w:bookmarkStart w:id="1129" w:name="_Toc1444"/>
      <w:bookmarkStart w:id="1130" w:name="_Toc3854"/>
      <w:bookmarkStart w:id="1131" w:name="_Toc2095"/>
      <w:bookmarkStart w:id="1132" w:name="_Toc1482"/>
      <w:bookmarkStart w:id="1133" w:name="_Toc12193"/>
      <w:r>
        <w:rPr>
          <w:rFonts w:ascii="宋体" w:hAnsi="宋体" w:cs="宋体"/>
          <w:color w:val="auto"/>
          <w:sz w:val="28"/>
          <w:szCs w:val="28"/>
          <w:highlight w:val="none"/>
        </w:rPr>
        <w:t xml:space="preserve">12.5 </w:t>
      </w:r>
      <w:r>
        <w:rPr>
          <w:rFonts w:hint="eastAsia" w:ascii="宋体" w:hAnsi="宋体" w:cs="宋体"/>
          <w:color w:val="auto"/>
          <w:sz w:val="28"/>
          <w:szCs w:val="28"/>
          <w:highlight w:val="none"/>
        </w:rPr>
        <w:t>职业卫生管理机构</w:t>
      </w:r>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为保证本工程建设、生产安全运行，根据国家规定和本项目的实际情况，设置专门劳动安全卫生管理机构，配置相应专职安全管理员，负责本项目的安全职业卫生管理工作。</w:t>
      </w:r>
    </w:p>
    <w:p>
      <w:pPr>
        <w:pStyle w:val="33"/>
        <w:spacing w:line="560" w:lineRule="exact"/>
        <w:ind w:firstLine="31680"/>
        <w:outlineLvl w:val="1"/>
        <w:rPr>
          <w:rFonts w:ascii="宋体" w:cs="宋体"/>
          <w:color w:val="auto"/>
          <w:sz w:val="28"/>
          <w:szCs w:val="28"/>
          <w:highlight w:val="none"/>
        </w:rPr>
      </w:pPr>
      <w:bookmarkStart w:id="1134" w:name="_Toc29254"/>
      <w:bookmarkStart w:id="1135" w:name="_Toc5729"/>
      <w:bookmarkStart w:id="1136" w:name="_Toc8596"/>
      <w:bookmarkStart w:id="1137" w:name="_Toc18317"/>
      <w:bookmarkStart w:id="1138" w:name="_Toc29965"/>
      <w:bookmarkStart w:id="1139" w:name="_Toc13305"/>
      <w:bookmarkStart w:id="1140" w:name="_Toc24956"/>
      <w:bookmarkStart w:id="1141" w:name="_Toc12659"/>
      <w:bookmarkStart w:id="1142" w:name="_Toc19619"/>
      <w:bookmarkStart w:id="1143" w:name="_Toc22554"/>
      <w:bookmarkStart w:id="1144" w:name="_Toc7418"/>
      <w:bookmarkStart w:id="1145" w:name="_Toc21166"/>
      <w:bookmarkStart w:id="1146" w:name="_Toc20795"/>
      <w:bookmarkStart w:id="1147" w:name="_Toc32145"/>
      <w:bookmarkStart w:id="1148" w:name="_Toc21298"/>
      <w:bookmarkStart w:id="1149" w:name="_Toc1315"/>
      <w:bookmarkStart w:id="1150" w:name="_Toc11766"/>
      <w:bookmarkStart w:id="1151" w:name="_Toc26446"/>
      <w:bookmarkStart w:id="1152" w:name="_Toc241"/>
      <w:bookmarkStart w:id="1153" w:name="_Toc20440"/>
      <w:r>
        <w:rPr>
          <w:rFonts w:ascii="宋体" w:hAnsi="宋体" w:cs="宋体"/>
          <w:color w:val="auto"/>
          <w:sz w:val="28"/>
          <w:szCs w:val="28"/>
          <w:highlight w:val="none"/>
        </w:rPr>
        <w:t xml:space="preserve">12.6 </w:t>
      </w:r>
      <w:r>
        <w:rPr>
          <w:rFonts w:hint="eastAsia" w:ascii="宋体" w:hAnsi="宋体" w:cs="宋体"/>
          <w:color w:val="auto"/>
          <w:sz w:val="28"/>
          <w:szCs w:val="28"/>
          <w:highlight w:val="none"/>
        </w:rPr>
        <w:t>预期效果及建议</w:t>
      </w:r>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设计采用可靠、先进的生产工艺和设备，各专业设计中严格执行有关规范中劳动安全和工业卫生的规定要求，对影响劳动和工业卫生的因素，均采用了切实可行的防范措施，预期在正常情况下能保证安全生产和达到工业企业设计卫生标准的要求。</w:t>
      </w:r>
      <w:r>
        <w:rPr>
          <w:rFonts w:ascii="宋体" w:hAnsi="宋体" w:cs="宋体"/>
          <w:color w:val="auto"/>
          <w:sz w:val="28"/>
          <w:szCs w:val="28"/>
          <w:highlight w:val="none"/>
        </w:rPr>
        <w:t xml:space="preserve"> </w:t>
      </w:r>
      <w:bookmarkStart w:id="1154" w:name="_Toc25358"/>
      <w:bookmarkStart w:id="1155" w:name="_Toc3474"/>
      <w:bookmarkStart w:id="1156" w:name="_Toc3261"/>
      <w:bookmarkStart w:id="1157" w:name="_Toc16973"/>
      <w:bookmarkStart w:id="1158" w:name="_Toc10534"/>
      <w:bookmarkStart w:id="1159" w:name="_Toc9993"/>
      <w:bookmarkStart w:id="1160" w:name="_Toc25621"/>
    </w:p>
    <w:bookmarkEnd w:id="1154"/>
    <w:bookmarkEnd w:id="1155"/>
    <w:bookmarkEnd w:id="1156"/>
    <w:bookmarkEnd w:id="1157"/>
    <w:bookmarkEnd w:id="1158"/>
    <w:bookmarkEnd w:id="1159"/>
    <w:bookmarkEnd w:id="1160"/>
    <w:p>
      <w:pPr>
        <w:pStyle w:val="33"/>
        <w:spacing w:line="560" w:lineRule="exact"/>
        <w:ind w:firstLine="31680"/>
        <w:rPr>
          <w:rFonts w:ascii="宋体" w:cs="宋体"/>
          <w:color w:val="auto"/>
          <w:sz w:val="28"/>
          <w:szCs w:val="28"/>
          <w:highlight w:val="none"/>
        </w:rPr>
      </w:pPr>
    </w:p>
    <w:p>
      <w:pPr>
        <w:spacing w:line="560" w:lineRule="exact"/>
        <w:ind w:firstLine="420" w:firstLineChars="200"/>
        <w:rPr>
          <w:color w:val="auto"/>
          <w:highlight w:val="none"/>
        </w:rPr>
        <w:sectPr>
          <w:pgSz w:w="11906" w:h="16838"/>
          <w:pgMar w:top="1440" w:right="1800" w:bottom="1440" w:left="1800" w:header="851" w:footer="992" w:gutter="0"/>
          <w:cols w:space="425" w:num="1"/>
          <w:docGrid w:type="lines" w:linePitch="312" w:charSpace="0"/>
        </w:sectPr>
      </w:pPr>
    </w:p>
    <w:p>
      <w:pPr>
        <w:pStyle w:val="45"/>
        <w:spacing w:beforeLines="0" w:afterLines="0" w:line="560" w:lineRule="exact"/>
        <w:ind w:firstLine="31680"/>
        <w:rPr>
          <w:color w:val="auto"/>
          <w:szCs w:val="32"/>
          <w:highlight w:val="none"/>
          <w:lang w:val="zh-CN"/>
        </w:rPr>
      </w:pPr>
      <w:bookmarkStart w:id="1161" w:name="_Toc4182_WPSOffice_Level1"/>
      <w:bookmarkStart w:id="1162" w:name="_Toc6395"/>
      <w:bookmarkStart w:id="1163" w:name="_Toc28548"/>
      <w:bookmarkStart w:id="1164" w:name="_Toc22067"/>
      <w:bookmarkStart w:id="1165" w:name="_Toc30410_WPSOffice_Level1"/>
      <w:bookmarkStart w:id="1166" w:name="_Toc29245_WPSOffice_Level1"/>
      <w:bookmarkStart w:id="1167" w:name="_Toc3625_WPSOffice_Level1"/>
      <w:bookmarkStart w:id="1168" w:name="_Toc27519"/>
      <w:bookmarkStart w:id="1169" w:name="_Toc29406"/>
      <w:r>
        <w:rPr>
          <w:rFonts w:hint="eastAsia"/>
          <w:color w:val="auto"/>
          <w:szCs w:val="32"/>
          <w:highlight w:val="none"/>
          <w:lang w:val="zh-CN"/>
        </w:rPr>
        <w:t>第十三章</w:t>
      </w:r>
      <w:r>
        <w:rPr>
          <w:color w:val="auto"/>
          <w:szCs w:val="32"/>
          <w:highlight w:val="none"/>
          <w:lang w:val="zh-CN"/>
        </w:rPr>
        <w:t xml:space="preserve"> </w:t>
      </w:r>
      <w:r>
        <w:rPr>
          <w:rFonts w:hint="eastAsia"/>
          <w:color w:val="auto"/>
          <w:szCs w:val="32"/>
          <w:highlight w:val="none"/>
          <w:lang w:val="zh-CN"/>
        </w:rPr>
        <w:t>组织机构与人力资源配置</w:t>
      </w:r>
      <w:bookmarkEnd w:id="1161"/>
      <w:bookmarkEnd w:id="1162"/>
      <w:bookmarkEnd w:id="1163"/>
      <w:bookmarkEnd w:id="1164"/>
      <w:bookmarkEnd w:id="1165"/>
      <w:bookmarkEnd w:id="1166"/>
      <w:bookmarkEnd w:id="1167"/>
      <w:bookmarkEnd w:id="1168"/>
      <w:bookmarkEnd w:id="1169"/>
    </w:p>
    <w:p>
      <w:pPr>
        <w:pStyle w:val="32"/>
        <w:numPr>
          <w:ilvl w:val="0"/>
          <w:numId w:val="4"/>
        </w:numPr>
        <w:spacing w:line="560" w:lineRule="exact"/>
        <w:ind w:firstLineChars="0"/>
        <w:jc w:val="left"/>
        <w:outlineLvl w:val="1"/>
        <w:rPr>
          <w:rStyle w:val="43"/>
          <w:rFonts w:ascii="宋体" w:hAnsi="Calibri" w:eastAsia="宋体" w:cs="宋体"/>
          <w:bCs/>
          <w:vanish/>
          <w:color w:val="auto"/>
          <w:sz w:val="28"/>
          <w:szCs w:val="28"/>
          <w:highlight w:val="none"/>
        </w:rPr>
      </w:pPr>
      <w:bookmarkStart w:id="1170" w:name="_Toc485072514"/>
      <w:bookmarkEnd w:id="1170"/>
      <w:bookmarkStart w:id="1171" w:name="_Toc472090962"/>
      <w:bookmarkEnd w:id="1171"/>
      <w:bookmarkStart w:id="1172" w:name="_Toc485079193"/>
      <w:bookmarkEnd w:id="1172"/>
      <w:bookmarkStart w:id="1173" w:name="_Toc485071626"/>
      <w:bookmarkEnd w:id="1173"/>
      <w:bookmarkStart w:id="1174" w:name="_Toc467418924"/>
      <w:bookmarkEnd w:id="1174"/>
      <w:bookmarkStart w:id="1175" w:name="_Toc468190069"/>
      <w:bookmarkEnd w:id="1175"/>
      <w:bookmarkStart w:id="1176" w:name="_Toc497731211"/>
      <w:bookmarkEnd w:id="1176"/>
      <w:bookmarkStart w:id="1177" w:name="_Toc474941315"/>
      <w:bookmarkEnd w:id="1177"/>
      <w:bookmarkStart w:id="1178" w:name="_Toc467419451"/>
      <w:bookmarkEnd w:id="1178"/>
      <w:bookmarkStart w:id="1179" w:name="_Toc472090537"/>
      <w:bookmarkEnd w:id="1179"/>
      <w:bookmarkStart w:id="1180" w:name="_Toc486495370"/>
      <w:bookmarkEnd w:id="1180"/>
      <w:bookmarkStart w:id="1181" w:name="_Toc27518"/>
      <w:bookmarkEnd w:id="1181"/>
      <w:bookmarkStart w:id="1182" w:name="_Toc492900309"/>
      <w:bookmarkEnd w:id="1182"/>
      <w:bookmarkStart w:id="1183" w:name="_Toc5268"/>
      <w:bookmarkEnd w:id="1183"/>
      <w:bookmarkStart w:id="1184" w:name="_Toc2179"/>
      <w:bookmarkEnd w:id="1184"/>
      <w:bookmarkStart w:id="1185" w:name="_Toc486495640"/>
      <w:bookmarkEnd w:id="1185"/>
      <w:bookmarkStart w:id="1186" w:name="_Toc485148824"/>
      <w:bookmarkEnd w:id="1186"/>
      <w:bookmarkStart w:id="1187" w:name="_Toc485073120"/>
      <w:bookmarkEnd w:id="1187"/>
      <w:bookmarkStart w:id="1188" w:name="_Toc493755210"/>
      <w:bookmarkEnd w:id="1188"/>
      <w:bookmarkStart w:id="1189" w:name="_Toc485139369"/>
      <w:bookmarkEnd w:id="1189"/>
      <w:bookmarkStart w:id="1190" w:name="_Toc485072716"/>
      <w:bookmarkEnd w:id="1190"/>
      <w:bookmarkStart w:id="1191" w:name="_Toc32606"/>
      <w:bookmarkEnd w:id="1191"/>
      <w:bookmarkStart w:id="1192" w:name="_Toc485131020"/>
      <w:bookmarkEnd w:id="1192"/>
      <w:bookmarkStart w:id="1193" w:name="_Toc470509387"/>
      <w:bookmarkEnd w:id="1193"/>
      <w:bookmarkStart w:id="1194" w:name="_Toc496512793"/>
      <w:bookmarkEnd w:id="1194"/>
      <w:bookmarkStart w:id="1195" w:name="_Toc467420296"/>
      <w:bookmarkEnd w:id="1195"/>
      <w:bookmarkStart w:id="1196" w:name="_Toc485071828"/>
      <w:bookmarkEnd w:id="1196"/>
      <w:bookmarkStart w:id="1197" w:name="_Toc485072918"/>
      <w:bookmarkEnd w:id="1197"/>
      <w:bookmarkStart w:id="1198" w:name="_Toc485139571"/>
      <w:bookmarkEnd w:id="1198"/>
      <w:bookmarkStart w:id="1199" w:name="_Toc485131223"/>
      <w:bookmarkEnd w:id="1199"/>
      <w:bookmarkStart w:id="1200" w:name="_Toc475520097"/>
      <w:bookmarkEnd w:id="1200"/>
    </w:p>
    <w:p>
      <w:pPr>
        <w:pStyle w:val="33"/>
        <w:spacing w:line="560" w:lineRule="exact"/>
        <w:ind w:firstLine="31680"/>
        <w:outlineLvl w:val="1"/>
        <w:rPr>
          <w:rFonts w:ascii="宋体" w:cs="宋体"/>
          <w:color w:val="auto"/>
          <w:sz w:val="28"/>
          <w:szCs w:val="28"/>
          <w:highlight w:val="none"/>
          <w:lang w:val="en-GB"/>
        </w:rPr>
      </w:pPr>
      <w:bookmarkStart w:id="1201" w:name="_Toc6166_WPSOffice_Level2"/>
      <w:bookmarkStart w:id="1202" w:name="_Toc13253"/>
      <w:bookmarkStart w:id="1203" w:name="_Toc16223"/>
      <w:bookmarkStart w:id="1204" w:name="_Toc18899"/>
      <w:bookmarkStart w:id="1205" w:name="_Toc18205_WPSOffice_Level2"/>
      <w:bookmarkStart w:id="1206" w:name="_Toc11727"/>
      <w:bookmarkStart w:id="1207" w:name="_Toc7889_WPSOffice_Level2"/>
      <w:bookmarkStart w:id="1208" w:name="_Toc17618_WPSOffice_Level2"/>
      <w:bookmarkStart w:id="1209" w:name="_Toc23951"/>
      <w:r>
        <w:rPr>
          <w:rFonts w:ascii="宋体" w:hAnsi="宋体" w:cs="宋体"/>
          <w:color w:val="auto"/>
          <w:sz w:val="28"/>
          <w:szCs w:val="28"/>
          <w:highlight w:val="none"/>
          <w:lang w:val="en-GB"/>
        </w:rPr>
        <w:t>13.1</w:t>
      </w:r>
      <w:r>
        <w:rPr>
          <w:rFonts w:hint="eastAsia" w:ascii="宋体" w:hAnsi="宋体" w:cs="宋体"/>
          <w:color w:val="auto"/>
          <w:sz w:val="28"/>
          <w:szCs w:val="28"/>
          <w:highlight w:val="none"/>
          <w:lang w:val="en-GB"/>
        </w:rPr>
        <w:t>企业管理体制及组织机构设置</w:t>
      </w:r>
      <w:bookmarkEnd w:id="1201"/>
      <w:bookmarkEnd w:id="1202"/>
      <w:bookmarkEnd w:id="1203"/>
      <w:bookmarkEnd w:id="1204"/>
      <w:bookmarkEnd w:id="1205"/>
      <w:bookmarkEnd w:id="1206"/>
      <w:bookmarkEnd w:id="1207"/>
      <w:bookmarkEnd w:id="1208"/>
      <w:bookmarkEnd w:id="1209"/>
    </w:p>
    <w:p>
      <w:pPr>
        <w:pStyle w:val="33"/>
        <w:spacing w:line="560" w:lineRule="exact"/>
        <w:ind w:firstLine="31680"/>
        <w:rPr>
          <w:rFonts w:ascii="宋体" w:cs="宋体"/>
          <w:color w:val="auto"/>
          <w:sz w:val="28"/>
          <w:szCs w:val="28"/>
          <w:highlight w:val="none"/>
          <w:lang w:val="en-GB"/>
        </w:rPr>
      </w:pPr>
      <w:r>
        <w:rPr>
          <w:rFonts w:hint="eastAsia" w:ascii="宋体" w:hAnsi="宋体" w:cs="宋体"/>
          <w:color w:val="auto"/>
          <w:sz w:val="28"/>
          <w:szCs w:val="28"/>
          <w:highlight w:val="none"/>
          <w:lang w:val="en-GB"/>
        </w:rPr>
        <w:t>本项目管理归江苏索普新材料科技有限公司统一管理，在项目组织和运作方面按江苏索普新材料科技有限公司的模式运作。</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本着职责分明、灵活高效的原则，内部机构应作如下设置：</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综合办公室：负责日常档案、行政后勤、对外联系及干部、人员调配、工资福利、劳动保障等工作。</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生产部：负责日常生产管理、计划布置、原辅材料采购、维持运营等工作。</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环安部：负责安全、环保、保卫等工作。</w:t>
      </w:r>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事业部：负责生产运营、技术、维保等工作。</w:t>
      </w:r>
    </w:p>
    <w:p>
      <w:pPr>
        <w:pStyle w:val="32"/>
        <w:spacing w:line="560" w:lineRule="exact"/>
        <w:ind w:firstLine="31680"/>
        <w:jc w:val="left"/>
        <w:outlineLvl w:val="1"/>
        <w:rPr>
          <w:rFonts w:ascii="宋体" w:cs="宋体"/>
          <w:bCs/>
          <w:color w:val="auto"/>
          <w:sz w:val="28"/>
          <w:szCs w:val="28"/>
          <w:highlight w:val="none"/>
          <w:lang w:val="en-GB"/>
        </w:rPr>
      </w:pPr>
      <w:bookmarkStart w:id="1210" w:name="_Toc8502_WPSOffice_Level2"/>
      <w:bookmarkStart w:id="1211" w:name="_Toc17117"/>
      <w:bookmarkStart w:id="1212" w:name="_Toc2578_WPSOffice_Level2"/>
      <w:bookmarkStart w:id="1213" w:name="_Toc6807_WPSOffice_Level2"/>
      <w:bookmarkStart w:id="1214" w:name="_Toc13106"/>
      <w:bookmarkStart w:id="1215" w:name="_Toc8210"/>
      <w:bookmarkStart w:id="1216" w:name="_Toc7192"/>
      <w:bookmarkStart w:id="1217" w:name="_Toc22297_WPSOffice_Level2"/>
      <w:bookmarkStart w:id="1218" w:name="_Toc3419"/>
      <w:bookmarkStart w:id="1219" w:name="_Toc1702"/>
      <w:bookmarkStart w:id="1220" w:name="_Toc12914_WPSOffice_Level2"/>
      <w:bookmarkStart w:id="1221" w:name="_Toc17645"/>
      <w:r>
        <w:rPr>
          <w:rFonts w:ascii="宋体" w:hAnsi="宋体" w:cs="宋体"/>
          <w:bCs/>
          <w:color w:val="auto"/>
          <w:sz w:val="28"/>
          <w:szCs w:val="28"/>
          <w:highlight w:val="none"/>
          <w:lang w:val="en-GB"/>
        </w:rPr>
        <w:t>13.2</w:t>
      </w:r>
      <w:r>
        <w:rPr>
          <w:rFonts w:hint="eastAsia" w:ascii="宋体" w:hAnsi="宋体" w:cs="宋体"/>
          <w:bCs/>
          <w:color w:val="auto"/>
          <w:sz w:val="28"/>
          <w:szCs w:val="28"/>
          <w:highlight w:val="none"/>
          <w:lang w:val="en-GB"/>
        </w:rPr>
        <w:t>生产班制与人力资源配置</w:t>
      </w:r>
      <w:bookmarkEnd w:id="1210"/>
      <w:bookmarkEnd w:id="1211"/>
      <w:bookmarkEnd w:id="1212"/>
      <w:bookmarkEnd w:id="1213"/>
      <w:bookmarkEnd w:id="1214"/>
      <w:bookmarkEnd w:id="1215"/>
      <w:bookmarkEnd w:id="1216"/>
      <w:bookmarkEnd w:id="1217"/>
    </w:p>
    <w:p>
      <w:pPr>
        <w:pStyle w:val="33"/>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本项目为</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w:t>
      </w:r>
      <w:r>
        <w:rPr>
          <w:rFonts w:hint="eastAsia" w:ascii="宋体" w:hAnsi="宋体" w:cs="宋体"/>
          <w:color w:val="auto"/>
          <w:sz w:val="28"/>
          <w:szCs w:val="28"/>
          <w:highlight w:val="none"/>
        </w:rPr>
        <w:t>生产装置，属于</w:t>
      </w:r>
      <w:r>
        <w:rPr>
          <w:rFonts w:hint="eastAsia" w:ascii="宋体" w:hAnsi="宋体" w:cs="宋体"/>
          <w:bCs/>
          <w:color w:val="auto"/>
          <w:sz w:val="28"/>
          <w:szCs w:val="28"/>
          <w:highlight w:val="none"/>
          <w:lang w:val="en-GB"/>
        </w:rPr>
        <w:t>江苏索普新材料科技有限公司</w:t>
      </w:r>
      <w:r>
        <w:rPr>
          <w:rFonts w:hint="eastAsia" w:ascii="宋体" w:hAnsi="宋体" w:cs="宋体"/>
          <w:bCs/>
          <w:color w:val="auto"/>
          <w:sz w:val="28"/>
          <w:szCs w:val="28"/>
          <w:highlight w:val="none"/>
        </w:rPr>
        <w:t>盐化</w:t>
      </w:r>
      <w:r>
        <w:rPr>
          <w:rFonts w:hint="eastAsia" w:ascii="宋体" w:hAnsi="宋体" w:cs="宋体"/>
          <w:color w:val="auto"/>
          <w:sz w:val="28"/>
          <w:szCs w:val="28"/>
          <w:highlight w:val="none"/>
        </w:rPr>
        <w:t>事业部，操作人员依托原装置人员，不考虑新增生产人员。</w:t>
      </w:r>
    </w:p>
    <w:p>
      <w:pPr>
        <w:pStyle w:val="32"/>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生产班制按现有四班二运转模式实施。</w:t>
      </w:r>
    </w:p>
    <w:p>
      <w:pPr>
        <w:pStyle w:val="32"/>
        <w:spacing w:line="560" w:lineRule="exact"/>
        <w:ind w:firstLine="31680"/>
        <w:jc w:val="left"/>
        <w:outlineLvl w:val="1"/>
        <w:rPr>
          <w:rFonts w:ascii="宋体" w:cs="宋体"/>
          <w:color w:val="auto"/>
          <w:sz w:val="28"/>
          <w:szCs w:val="28"/>
          <w:highlight w:val="none"/>
        </w:rPr>
      </w:pPr>
      <w:bookmarkStart w:id="1222" w:name="_Toc25617"/>
      <w:r>
        <w:rPr>
          <w:rFonts w:ascii="宋体" w:hAnsi="宋体" w:cs="宋体"/>
          <w:color w:val="auto"/>
          <w:sz w:val="28"/>
          <w:szCs w:val="28"/>
          <w:highlight w:val="none"/>
        </w:rPr>
        <w:t>13.3</w:t>
      </w:r>
      <w:r>
        <w:rPr>
          <w:rFonts w:hint="eastAsia" w:ascii="宋体" w:hAnsi="宋体" w:cs="宋体"/>
          <w:color w:val="auto"/>
          <w:sz w:val="28"/>
          <w:szCs w:val="28"/>
          <w:highlight w:val="none"/>
        </w:rPr>
        <w:t>人员培训</w:t>
      </w:r>
      <w:bookmarkEnd w:id="1218"/>
      <w:bookmarkEnd w:id="1219"/>
      <w:bookmarkEnd w:id="1220"/>
      <w:bookmarkEnd w:id="1221"/>
      <w:bookmarkEnd w:id="1222"/>
    </w:p>
    <w:p>
      <w:pPr>
        <w:pStyle w:val="32"/>
        <w:spacing w:line="560" w:lineRule="exact"/>
        <w:ind w:firstLine="31680"/>
        <w:jc w:val="left"/>
        <w:outlineLvl w:val="2"/>
        <w:rPr>
          <w:rFonts w:ascii="宋体" w:cs="宋体"/>
          <w:color w:val="auto"/>
          <w:sz w:val="28"/>
          <w:szCs w:val="28"/>
          <w:highlight w:val="none"/>
        </w:rPr>
      </w:pPr>
      <w:r>
        <w:rPr>
          <w:rFonts w:hint="eastAsia" w:ascii="宋体" w:hAnsi="宋体" w:cs="宋体"/>
          <w:color w:val="auto"/>
          <w:sz w:val="28"/>
          <w:szCs w:val="28"/>
          <w:highlight w:val="none"/>
        </w:rPr>
        <w:t>本项目所需的生产及技术管理人员必须具备相关的基础理论和业务知识。各类岗位人员必须进行专业培训，培训合格方能持证上岗。</w:t>
      </w:r>
    </w:p>
    <w:p>
      <w:pPr>
        <w:pStyle w:val="32"/>
        <w:spacing w:line="560" w:lineRule="exact"/>
        <w:ind w:firstLine="31680"/>
        <w:jc w:val="left"/>
        <w:outlineLvl w:val="2"/>
        <w:rPr>
          <w:rFonts w:ascii="宋体" w:cs="宋体"/>
          <w:color w:val="auto"/>
          <w:sz w:val="28"/>
          <w:szCs w:val="28"/>
          <w:highlight w:val="none"/>
        </w:rPr>
      </w:pPr>
      <w:bookmarkStart w:id="1223" w:name="_Toc231112885"/>
      <w:r>
        <w:rPr>
          <w:rFonts w:ascii="宋体" w:hAnsi="宋体" w:cs="宋体"/>
          <w:color w:val="auto"/>
          <w:sz w:val="28"/>
          <w:szCs w:val="28"/>
          <w:highlight w:val="none"/>
        </w:rPr>
        <w:t>13.3.1</w:t>
      </w:r>
      <w:bookmarkEnd w:id="1223"/>
      <w:bookmarkStart w:id="1224" w:name="_Toc231112886"/>
      <w:r>
        <w:rPr>
          <w:rFonts w:hint="eastAsia" w:ascii="宋体" w:hAnsi="宋体" w:cs="宋体"/>
          <w:color w:val="auto"/>
          <w:sz w:val="28"/>
          <w:szCs w:val="28"/>
          <w:highlight w:val="none"/>
        </w:rPr>
        <w:t>培训内容</w:t>
      </w:r>
      <w:bookmarkEnd w:id="1224"/>
    </w:p>
    <w:p>
      <w:pPr>
        <w:pStyle w:val="32"/>
        <w:spacing w:line="560" w:lineRule="exact"/>
        <w:ind w:firstLine="31680"/>
        <w:jc w:val="left"/>
        <w:outlineLvl w:val="2"/>
        <w:rPr>
          <w:rFonts w:ascii="宋体" w:cs="宋体"/>
          <w:color w:val="auto"/>
          <w:sz w:val="28"/>
          <w:szCs w:val="28"/>
          <w:highlight w:val="none"/>
        </w:rPr>
      </w:pPr>
      <w:r>
        <w:rPr>
          <w:rFonts w:hint="eastAsia" w:ascii="宋体" w:hAnsi="宋体" w:cs="宋体"/>
          <w:color w:val="auto"/>
          <w:sz w:val="28"/>
          <w:szCs w:val="28"/>
          <w:highlight w:val="none"/>
        </w:rPr>
        <w:t>培训按操作管理人员工种的不同设置相应的培训课程。培训的内容以各种技术理论及相关设备的操作与运行维护为主，主要内容包括：</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1</w:t>
      </w:r>
      <w:r>
        <w:rPr>
          <w:rFonts w:hint="eastAsia" w:ascii="宋体" w:hAnsi="宋体" w:cs="宋体"/>
          <w:color w:val="auto"/>
          <w:sz w:val="28"/>
          <w:szCs w:val="28"/>
          <w:highlight w:val="none"/>
        </w:rPr>
        <w:t>）介绍本工程工艺流程和各构筑物的功能；</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2</w:t>
      </w:r>
      <w:r>
        <w:rPr>
          <w:rFonts w:hint="eastAsia" w:ascii="宋体" w:hAnsi="宋体" w:cs="宋体"/>
          <w:color w:val="auto"/>
          <w:sz w:val="28"/>
          <w:szCs w:val="28"/>
          <w:highlight w:val="none"/>
        </w:rPr>
        <w:t>）设备的培训。主要包括：装置和设备的手动操作及自动操作，正常运行中需要的手动运作及调节，设备例行检查、润滑等，设备维护保养，设备装置的隔离、拆卸和更换，故障的查找等。</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3</w:t>
      </w:r>
      <w:r>
        <w:rPr>
          <w:rFonts w:hint="eastAsia" w:ascii="宋体" w:hAnsi="宋体" w:cs="宋体"/>
          <w:color w:val="auto"/>
          <w:sz w:val="28"/>
          <w:szCs w:val="28"/>
          <w:highlight w:val="none"/>
        </w:rPr>
        <w:t>）到现场熟悉各构筑物；</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4</w:t>
      </w:r>
      <w:r>
        <w:rPr>
          <w:rFonts w:hint="eastAsia" w:ascii="宋体" w:hAnsi="宋体" w:cs="宋体"/>
          <w:color w:val="auto"/>
          <w:sz w:val="28"/>
          <w:szCs w:val="28"/>
          <w:highlight w:val="none"/>
        </w:rPr>
        <w:t>）分析化验及操作方法；</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5</w:t>
      </w:r>
      <w:r>
        <w:rPr>
          <w:rFonts w:hint="eastAsia" w:ascii="宋体" w:hAnsi="宋体" w:cs="宋体"/>
          <w:color w:val="auto"/>
          <w:sz w:val="28"/>
          <w:szCs w:val="28"/>
          <w:highlight w:val="none"/>
        </w:rPr>
        <w:t>）现场工艺运行的培训。</w:t>
      </w:r>
    </w:p>
    <w:p>
      <w:pPr>
        <w:pStyle w:val="32"/>
        <w:spacing w:line="560" w:lineRule="exact"/>
        <w:ind w:firstLine="31680"/>
        <w:jc w:val="left"/>
        <w:outlineLvl w:val="2"/>
        <w:rPr>
          <w:rFonts w:ascii="宋体" w:cs="宋体"/>
          <w:color w:val="auto"/>
          <w:sz w:val="28"/>
          <w:szCs w:val="28"/>
          <w:highlight w:val="none"/>
        </w:rPr>
      </w:pPr>
      <w:bookmarkStart w:id="1225" w:name="_Toc185010903"/>
      <w:bookmarkStart w:id="1226" w:name="_Toc230110408"/>
      <w:bookmarkStart w:id="1227" w:name="_Toc96582229"/>
      <w:bookmarkStart w:id="1228" w:name="_Toc231112887"/>
      <w:r>
        <w:rPr>
          <w:rFonts w:ascii="宋体" w:hAnsi="宋体" w:cs="宋体"/>
          <w:color w:val="auto"/>
          <w:sz w:val="28"/>
          <w:szCs w:val="28"/>
          <w:highlight w:val="none"/>
        </w:rPr>
        <w:t>13.3.2</w:t>
      </w:r>
      <w:r>
        <w:rPr>
          <w:rFonts w:hint="eastAsia" w:ascii="宋体" w:hAnsi="宋体" w:cs="宋体"/>
          <w:color w:val="auto"/>
          <w:sz w:val="28"/>
          <w:szCs w:val="28"/>
          <w:highlight w:val="none"/>
        </w:rPr>
        <w:t>知识技能</w:t>
      </w:r>
      <w:bookmarkEnd w:id="1225"/>
      <w:bookmarkEnd w:id="1226"/>
      <w:bookmarkEnd w:id="1227"/>
      <w:bookmarkEnd w:id="1228"/>
    </w:p>
    <w:p>
      <w:pPr>
        <w:pStyle w:val="32"/>
        <w:spacing w:line="560" w:lineRule="exact"/>
        <w:ind w:firstLine="31680"/>
        <w:jc w:val="left"/>
        <w:outlineLvl w:val="2"/>
        <w:rPr>
          <w:rFonts w:ascii="宋体" w:cs="宋体"/>
          <w:color w:val="auto"/>
          <w:sz w:val="28"/>
          <w:szCs w:val="28"/>
          <w:highlight w:val="none"/>
        </w:rPr>
      </w:pPr>
      <w:r>
        <w:rPr>
          <w:rFonts w:hint="eastAsia" w:ascii="宋体" w:hAnsi="宋体" w:cs="宋体"/>
          <w:color w:val="auto"/>
          <w:sz w:val="28"/>
          <w:szCs w:val="28"/>
          <w:highlight w:val="none"/>
        </w:rPr>
        <w:t>经培训后使运行操作人员具备以下知识技能：</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1</w:t>
      </w:r>
      <w:r>
        <w:rPr>
          <w:rFonts w:hint="eastAsia" w:ascii="宋体" w:hAnsi="宋体" w:cs="宋体"/>
          <w:color w:val="auto"/>
          <w:sz w:val="28"/>
          <w:szCs w:val="28"/>
          <w:highlight w:val="none"/>
        </w:rPr>
        <w:t>）掌握基本知识、概念和原理；</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2</w:t>
      </w:r>
      <w:r>
        <w:rPr>
          <w:rFonts w:hint="eastAsia" w:ascii="宋体" w:hAnsi="宋体" w:cs="宋体"/>
          <w:color w:val="auto"/>
          <w:sz w:val="28"/>
          <w:szCs w:val="28"/>
          <w:highlight w:val="none"/>
        </w:rPr>
        <w:t>）熟悉本装置的工艺流程、技术参数；</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3</w:t>
      </w:r>
      <w:r>
        <w:rPr>
          <w:rFonts w:hint="eastAsia" w:ascii="宋体" w:hAnsi="宋体" w:cs="宋体"/>
          <w:color w:val="auto"/>
          <w:sz w:val="28"/>
          <w:szCs w:val="28"/>
          <w:highlight w:val="none"/>
        </w:rPr>
        <w:t>）熟悉本装置的设备规格、性能、机械电气结构等；</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4</w:t>
      </w:r>
      <w:r>
        <w:rPr>
          <w:rFonts w:hint="eastAsia" w:ascii="宋体" w:hAnsi="宋体" w:cs="宋体"/>
          <w:color w:val="auto"/>
          <w:sz w:val="28"/>
          <w:szCs w:val="28"/>
          <w:highlight w:val="none"/>
        </w:rPr>
        <w:t>）熟悉本装置设备的运行、操作及维护；</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5</w:t>
      </w:r>
      <w:r>
        <w:rPr>
          <w:rFonts w:hint="eastAsia" w:ascii="宋体" w:hAnsi="宋体" w:cs="宋体"/>
          <w:color w:val="auto"/>
          <w:sz w:val="28"/>
          <w:szCs w:val="28"/>
          <w:highlight w:val="none"/>
        </w:rPr>
        <w:t>）能熟练对各种工艺控制指标进行化验分析、判断；</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6</w:t>
      </w:r>
      <w:r>
        <w:rPr>
          <w:rFonts w:hint="eastAsia" w:ascii="宋体" w:hAnsi="宋体" w:cs="宋体"/>
          <w:color w:val="auto"/>
          <w:sz w:val="28"/>
          <w:szCs w:val="28"/>
          <w:highlight w:val="none"/>
        </w:rPr>
        <w:t>）能针对出现的工艺异常现象或故障情况，采取措施进行工艺调整；</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7</w:t>
      </w:r>
      <w:r>
        <w:rPr>
          <w:rFonts w:hint="eastAsia" w:ascii="宋体" w:hAnsi="宋体" w:cs="宋体"/>
          <w:color w:val="auto"/>
          <w:sz w:val="28"/>
          <w:szCs w:val="28"/>
          <w:highlight w:val="none"/>
        </w:rPr>
        <w:t>）要用系统的观点，对整个装置的工艺运行进行整体考虑或调整；</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8</w:t>
      </w:r>
      <w:r>
        <w:rPr>
          <w:rFonts w:hint="eastAsia" w:ascii="宋体" w:hAnsi="宋体" w:cs="宋体"/>
          <w:color w:val="auto"/>
          <w:sz w:val="28"/>
          <w:szCs w:val="28"/>
          <w:highlight w:val="none"/>
        </w:rPr>
        <w:t>）具有总结和分析历史数据的能力。</w:t>
      </w:r>
    </w:p>
    <w:p>
      <w:pPr>
        <w:pStyle w:val="32"/>
        <w:spacing w:line="560" w:lineRule="exact"/>
        <w:ind w:firstLine="31680"/>
        <w:jc w:val="left"/>
        <w:outlineLvl w:val="2"/>
        <w:rPr>
          <w:rFonts w:ascii="宋体" w:cs="宋体"/>
          <w:bCs/>
          <w:color w:val="auto"/>
          <w:sz w:val="28"/>
          <w:szCs w:val="28"/>
          <w:highlight w:val="none"/>
          <w:lang w:val="en-GB"/>
        </w:rPr>
      </w:pPr>
      <w:r>
        <w:rPr>
          <w:rFonts w:ascii="宋体" w:hAnsi="宋体" w:cs="宋体"/>
          <w:color w:val="auto"/>
          <w:sz w:val="28"/>
          <w:szCs w:val="28"/>
          <w:highlight w:val="none"/>
        </w:rPr>
        <w:t>9</w:t>
      </w:r>
      <w:r>
        <w:rPr>
          <w:rFonts w:hint="eastAsia" w:ascii="宋体" w:hAnsi="宋体" w:cs="宋体"/>
          <w:color w:val="auto"/>
          <w:sz w:val="28"/>
          <w:szCs w:val="28"/>
          <w:highlight w:val="none"/>
        </w:rPr>
        <w:t>）具有对生产经济运行数据总结、分析的能力。</w:t>
      </w:r>
    </w:p>
    <w:p>
      <w:pPr>
        <w:rPr>
          <w:color w:val="auto"/>
          <w:highlight w:val="none"/>
        </w:rPr>
      </w:pPr>
    </w:p>
    <w:p>
      <w:pPr>
        <w:pStyle w:val="7"/>
        <w:rPr>
          <w:color w:val="auto"/>
          <w:highlight w:val="none"/>
        </w:rPr>
        <w:sectPr>
          <w:footerReference r:id="rId8" w:type="default"/>
          <w:pgSz w:w="11906" w:h="16838"/>
          <w:pgMar w:top="1440" w:right="1800" w:bottom="1440" w:left="1800" w:header="851" w:footer="992" w:gutter="0"/>
          <w:cols w:space="425" w:num="1"/>
          <w:docGrid w:type="lines" w:linePitch="312" w:charSpace="0"/>
        </w:sectPr>
      </w:pPr>
    </w:p>
    <w:p>
      <w:pPr>
        <w:pStyle w:val="45"/>
        <w:spacing w:beforeLines="0" w:afterLines="0" w:line="560" w:lineRule="exact"/>
        <w:ind w:firstLine="31680"/>
        <w:rPr>
          <w:color w:val="auto"/>
          <w:szCs w:val="32"/>
          <w:highlight w:val="none"/>
          <w:lang w:val="zh-CN"/>
        </w:rPr>
      </w:pPr>
      <w:bookmarkStart w:id="1229" w:name="_Toc16573"/>
      <w:bookmarkStart w:id="1230" w:name="_Toc10956"/>
      <w:bookmarkStart w:id="1231" w:name="_Toc17879_WPSOffice_Level1"/>
      <w:bookmarkStart w:id="1232" w:name="_Toc15803_WPSOffice_Level1"/>
      <w:bookmarkStart w:id="1233" w:name="_Toc15839_WPSOffice_Level1"/>
      <w:bookmarkStart w:id="1234" w:name="_Toc13171_WPSOffice_Level1"/>
      <w:r>
        <w:rPr>
          <w:rFonts w:hint="eastAsia"/>
          <w:color w:val="auto"/>
          <w:szCs w:val="32"/>
          <w:highlight w:val="none"/>
          <w:lang w:val="zh-CN"/>
        </w:rPr>
        <w:t>第十</w:t>
      </w:r>
      <w:r>
        <w:rPr>
          <w:rFonts w:hint="eastAsia"/>
          <w:color w:val="auto"/>
          <w:szCs w:val="32"/>
          <w:highlight w:val="none"/>
        </w:rPr>
        <w:t>四</w:t>
      </w:r>
      <w:r>
        <w:rPr>
          <w:rFonts w:hint="eastAsia"/>
          <w:color w:val="auto"/>
          <w:szCs w:val="32"/>
          <w:highlight w:val="none"/>
          <w:lang w:val="zh-CN"/>
        </w:rPr>
        <w:t>章</w:t>
      </w:r>
      <w:r>
        <w:rPr>
          <w:color w:val="auto"/>
          <w:szCs w:val="32"/>
          <w:highlight w:val="none"/>
          <w:lang w:val="zh-CN"/>
        </w:rPr>
        <w:t xml:space="preserve"> </w:t>
      </w:r>
      <w:r>
        <w:rPr>
          <w:rFonts w:hint="eastAsia"/>
          <w:color w:val="auto"/>
          <w:szCs w:val="32"/>
          <w:highlight w:val="none"/>
          <w:lang w:val="zh-CN"/>
        </w:rPr>
        <w:t>项目实施计划</w:t>
      </w:r>
      <w:bookmarkEnd w:id="1229"/>
      <w:bookmarkEnd w:id="1230"/>
      <w:bookmarkEnd w:id="1231"/>
      <w:bookmarkEnd w:id="1232"/>
      <w:bookmarkEnd w:id="1233"/>
      <w:bookmarkEnd w:id="1234"/>
    </w:p>
    <w:p>
      <w:pPr>
        <w:pStyle w:val="32"/>
        <w:numPr>
          <w:ilvl w:val="0"/>
          <w:numId w:val="4"/>
        </w:numPr>
        <w:spacing w:line="560" w:lineRule="exact"/>
        <w:ind w:firstLine="0" w:firstLineChars="0"/>
        <w:jc w:val="left"/>
        <w:outlineLvl w:val="1"/>
        <w:rPr>
          <w:rStyle w:val="43"/>
          <w:rFonts w:ascii="宋体" w:hAnsi="Calibri" w:eastAsia="宋体" w:cs="宋体"/>
          <w:bCs/>
          <w:vanish/>
          <w:color w:val="auto"/>
          <w:sz w:val="28"/>
          <w:szCs w:val="28"/>
          <w:highlight w:val="none"/>
        </w:rPr>
      </w:pPr>
      <w:bookmarkStart w:id="1235" w:name="_Toc467418929"/>
      <w:bookmarkEnd w:id="1235"/>
      <w:bookmarkStart w:id="1236" w:name="_Toc467420301"/>
      <w:bookmarkEnd w:id="1236"/>
      <w:bookmarkStart w:id="1237" w:name="_Toc485072519"/>
      <w:bookmarkEnd w:id="1237"/>
      <w:bookmarkStart w:id="1238" w:name="_Toc497731216"/>
      <w:bookmarkEnd w:id="1238"/>
      <w:bookmarkStart w:id="1239" w:name="_Toc15203"/>
      <w:bookmarkEnd w:id="1239"/>
      <w:bookmarkStart w:id="1240" w:name="_Toc485079198"/>
      <w:bookmarkEnd w:id="1240"/>
      <w:bookmarkStart w:id="1241" w:name="_Toc486495645"/>
      <w:bookmarkEnd w:id="1241"/>
      <w:bookmarkStart w:id="1242" w:name="_Toc468190074"/>
      <w:bookmarkEnd w:id="1242"/>
      <w:bookmarkStart w:id="1243" w:name="_Toc470509392"/>
      <w:bookmarkEnd w:id="1243"/>
      <w:bookmarkStart w:id="1244" w:name="_Toc485139576"/>
      <w:bookmarkEnd w:id="1244"/>
      <w:bookmarkStart w:id="1245" w:name="_Toc485131228"/>
      <w:bookmarkEnd w:id="1245"/>
      <w:bookmarkStart w:id="1246" w:name="_Toc485071833"/>
      <w:bookmarkEnd w:id="1246"/>
      <w:bookmarkStart w:id="1247" w:name="_Toc485073125"/>
      <w:bookmarkEnd w:id="1247"/>
      <w:bookmarkStart w:id="1248" w:name="_Toc492900314"/>
      <w:bookmarkEnd w:id="1248"/>
      <w:bookmarkStart w:id="1249" w:name="_Toc485148829"/>
      <w:bookmarkEnd w:id="1249"/>
      <w:bookmarkStart w:id="1250" w:name="_Toc475520102"/>
      <w:bookmarkEnd w:id="1250"/>
      <w:bookmarkStart w:id="1251" w:name="_Toc485072721"/>
      <w:bookmarkEnd w:id="1251"/>
      <w:bookmarkStart w:id="1252" w:name="_Toc485131025"/>
      <w:bookmarkEnd w:id="1252"/>
      <w:bookmarkStart w:id="1253" w:name="_Toc472090542"/>
      <w:bookmarkEnd w:id="1253"/>
      <w:bookmarkStart w:id="1254" w:name="_Toc485139374"/>
      <w:bookmarkEnd w:id="1254"/>
      <w:bookmarkStart w:id="1255" w:name="_Toc496512798"/>
      <w:bookmarkEnd w:id="1255"/>
      <w:bookmarkStart w:id="1256" w:name="_Toc486495375"/>
      <w:bookmarkEnd w:id="1256"/>
      <w:bookmarkStart w:id="1257" w:name="_Toc474941320"/>
      <w:bookmarkEnd w:id="1257"/>
      <w:bookmarkStart w:id="1258" w:name="_Toc493755215"/>
      <w:bookmarkEnd w:id="1258"/>
      <w:bookmarkStart w:id="1259" w:name="_Toc485071631"/>
      <w:bookmarkEnd w:id="1259"/>
      <w:bookmarkStart w:id="1260" w:name="_Toc467419456"/>
      <w:bookmarkEnd w:id="1260"/>
      <w:bookmarkStart w:id="1261" w:name="_Toc485072923"/>
      <w:bookmarkEnd w:id="1261"/>
      <w:bookmarkStart w:id="1262" w:name="_Toc472090967"/>
      <w:bookmarkEnd w:id="1262"/>
    </w:p>
    <w:p>
      <w:pPr>
        <w:pStyle w:val="32"/>
        <w:spacing w:line="560" w:lineRule="exact"/>
        <w:ind w:firstLine="31680"/>
        <w:jc w:val="left"/>
        <w:outlineLvl w:val="1"/>
        <w:rPr>
          <w:rFonts w:ascii="宋体" w:cs="宋体"/>
          <w:bCs/>
          <w:color w:val="auto"/>
          <w:sz w:val="28"/>
          <w:szCs w:val="28"/>
          <w:highlight w:val="none"/>
        </w:rPr>
      </w:pPr>
      <w:bookmarkStart w:id="1263" w:name="_Toc4685_WPSOffice_Level2"/>
      <w:bookmarkStart w:id="1264" w:name="_Toc22504_WPSOffice_Level2"/>
      <w:bookmarkStart w:id="1265" w:name="_Toc22809"/>
      <w:bookmarkStart w:id="1266" w:name="_Toc7020"/>
      <w:bookmarkStart w:id="1267" w:name="_Toc2019_WPSOffice_Level2"/>
      <w:bookmarkStart w:id="1268" w:name="_Toc32683_WPSOffice_Level2"/>
      <w:r>
        <w:rPr>
          <w:rFonts w:ascii="宋体" w:hAnsi="宋体" w:cs="宋体"/>
          <w:bCs/>
          <w:color w:val="auto"/>
          <w:sz w:val="28"/>
          <w:szCs w:val="28"/>
          <w:highlight w:val="none"/>
        </w:rPr>
        <w:t>14.1</w:t>
      </w:r>
      <w:r>
        <w:rPr>
          <w:rFonts w:hint="eastAsia" w:ascii="宋体" w:hAnsi="宋体" w:cs="宋体"/>
          <w:bCs/>
          <w:color w:val="auto"/>
          <w:sz w:val="28"/>
          <w:szCs w:val="28"/>
          <w:highlight w:val="none"/>
        </w:rPr>
        <w:t>项目的组织与管理</w:t>
      </w:r>
      <w:bookmarkEnd w:id="1263"/>
      <w:bookmarkEnd w:id="1264"/>
      <w:bookmarkEnd w:id="1265"/>
      <w:bookmarkEnd w:id="1266"/>
      <w:bookmarkEnd w:id="1267"/>
      <w:bookmarkEnd w:id="1268"/>
    </w:p>
    <w:p>
      <w:pPr>
        <w:pStyle w:val="32"/>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本项目由江苏索普新材料科技有限公司负责项目工程的整体协调，并配备专业施工安全队伍，确保项目的施工质量和施工进度。</w:t>
      </w:r>
    </w:p>
    <w:p>
      <w:pPr>
        <w:pStyle w:val="32"/>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本项目的建设应尽可能不影响原装置的生产，当不可避免时，亦应将影响减至最小程度。</w:t>
      </w:r>
    </w:p>
    <w:p>
      <w:pPr>
        <w:pStyle w:val="32"/>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本项目与原装置有部分联系，须采取措施以减少对原有生产的影响。</w:t>
      </w:r>
    </w:p>
    <w:p>
      <w:pPr>
        <w:pStyle w:val="32"/>
        <w:spacing w:line="560" w:lineRule="exact"/>
        <w:ind w:firstLine="31680"/>
        <w:jc w:val="left"/>
        <w:outlineLvl w:val="1"/>
        <w:rPr>
          <w:rFonts w:ascii="宋体" w:cs="宋体"/>
          <w:bCs/>
          <w:color w:val="auto"/>
          <w:sz w:val="28"/>
          <w:szCs w:val="28"/>
          <w:highlight w:val="none"/>
        </w:rPr>
      </w:pPr>
      <w:bookmarkStart w:id="1269" w:name="_Toc31822_WPSOffice_Level2"/>
      <w:bookmarkStart w:id="1270" w:name="_Toc10366_WPSOffice_Level2"/>
      <w:bookmarkStart w:id="1271" w:name="_Toc15736"/>
      <w:bookmarkStart w:id="1272" w:name="_Toc28056_WPSOffice_Level2"/>
      <w:bookmarkStart w:id="1273" w:name="_Toc20977_WPSOffice_Level2"/>
      <w:bookmarkStart w:id="1274" w:name="_Toc8697"/>
      <w:r>
        <w:rPr>
          <w:rFonts w:ascii="宋体" w:hAnsi="宋体" w:cs="宋体"/>
          <w:bCs/>
          <w:color w:val="auto"/>
          <w:sz w:val="28"/>
          <w:szCs w:val="28"/>
          <w:highlight w:val="none"/>
        </w:rPr>
        <w:t>14.2</w:t>
      </w:r>
      <w:r>
        <w:rPr>
          <w:rFonts w:hint="eastAsia" w:ascii="宋体" w:hAnsi="宋体" w:cs="宋体"/>
          <w:bCs/>
          <w:color w:val="auto"/>
          <w:sz w:val="28"/>
          <w:szCs w:val="28"/>
          <w:highlight w:val="none"/>
        </w:rPr>
        <w:t>实施进度计划</w:t>
      </w:r>
      <w:bookmarkEnd w:id="1269"/>
      <w:bookmarkEnd w:id="1270"/>
      <w:bookmarkEnd w:id="1271"/>
      <w:bookmarkEnd w:id="1272"/>
      <w:bookmarkEnd w:id="1273"/>
      <w:bookmarkEnd w:id="1274"/>
    </w:p>
    <w:p>
      <w:pPr>
        <w:pStyle w:val="32"/>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w:t>
      </w:r>
      <w:r>
        <w:rPr>
          <w:rFonts w:ascii="宋体" w:hAnsi="宋体" w:cs="宋体"/>
          <w:bCs/>
          <w:color w:val="auto"/>
          <w:sz w:val="28"/>
          <w:szCs w:val="28"/>
          <w:highlight w:val="none"/>
        </w:rPr>
        <w:t>1</w:t>
      </w:r>
      <w:r>
        <w:rPr>
          <w:rFonts w:hint="eastAsia" w:ascii="宋体" w:hAnsi="宋体" w:cs="宋体"/>
          <w:bCs/>
          <w:color w:val="auto"/>
          <w:sz w:val="28"/>
          <w:szCs w:val="28"/>
          <w:highlight w:val="none"/>
        </w:rPr>
        <w:t>）本项目实施拟分下述阶段：　　</w:t>
      </w:r>
      <w:r>
        <w:rPr>
          <w:rFonts w:ascii="宋体" w:cs="宋体"/>
          <w:bCs/>
          <w:color w:val="auto"/>
          <w:sz w:val="28"/>
          <w:szCs w:val="28"/>
          <w:highlight w:val="none"/>
        </w:rPr>
        <w:tab/>
      </w:r>
      <w:r>
        <w:rPr>
          <w:rFonts w:ascii="宋体" w:cs="宋体"/>
          <w:bCs/>
          <w:color w:val="auto"/>
          <w:sz w:val="28"/>
          <w:szCs w:val="28"/>
          <w:highlight w:val="none"/>
        </w:rPr>
        <w:tab/>
      </w:r>
    </w:p>
    <w:tbl>
      <w:tblPr>
        <w:tblStyle w:val="16"/>
        <w:tblW w:w="6946" w:type="dxa"/>
        <w:tblInd w:w="959" w:type="dxa"/>
        <w:tblLayout w:type="fixed"/>
        <w:tblCellMar>
          <w:top w:w="0" w:type="dxa"/>
          <w:left w:w="108" w:type="dxa"/>
          <w:bottom w:w="0" w:type="dxa"/>
          <w:right w:w="108" w:type="dxa"/>
        </w:tblCellMar>
      </w:tblPr>
      <w:tblGrid>
        <w:gridCol w:w="4111"/>
        <w:gridCol w:w="2835"/>
      </w:tblGrid>
      <w:tr>
        <w:tblPrEx>
          <w:tblCellMar>
            <w:top w:w="0" w:type="dxa"/>
            <w:left w:w="108" w:type="dxa"/>
            <w:bottom w:w="0" w:type="dxa"/>
            <w:right w:w="108" w:type="dxa"/>
          </w:tblCellMar>
        </w:tblPrEx>
        <w:trPr>
          <w:trHeight w:val="567" w:hRule="atLeast"/>
        </w:trPr>
        <w:tc>
          <w:tcPr>
            <w:tcW w:w="4111"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hint="eastAsia" w:ascii="宋体" w:hAnsi="宋体" w:eastAsia="宋体" w:cs="宋体"/>
                <w:color w:val="auto"/>
                <w:sz w:val="21"/>
                <w:szCs w:val="21"/>
                <w:highlight w:val="none"/>
              </w:rPr>
              <w:t>基础设计</w:t>
            </w:r>
          </w:p>
        </w:tc>
        <w:tc>
          <w:tcPr>
            <w:tcW w:w="2835"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ascii="宋体" w:hAnsi="宋体" w:cs="宋体"/>
                <w:color w:val="auto"/>
                <w:sz w:val="21"/>
                <w:szCs w:val="21"/>
                <w:highlight w:val="none"/>
              </w:rPr>
              <w:t>2</w:t>
            </w:r>
            <w:r>
              <w:rPr>
                <w:rStyle w:val="43"/>
                <w:rFonts w:hint="eastAsia" w:ascii="宋体" w:hAnsi="宋体" w:eastAsia="宋体" w:cs="宋体"/>
                <w:color w:val="auto"/>
                <w:sz w:val="21"/>
                <w:szCs w:val="21"/>
                <w:highlight w:val="none"/>
              </w:rPr>
              <w:t>月</w:t>
            </w:r>
          </w:p>
        </w:tc>
      </w:tr>
      <w:tr>
        <w:tblPrEx>
          <w:tblCellMar>
            <w:top w:w="0" w:type="dxa"/>
            <w:left w:w="108" w:type="dxa"/>
            <w:bottom w:w="0" w:type="dxa"/>
            <w:right w:w="108" w:type="dxa"/>
          </w:tblCellMar>
        </w:tblPrEx>
        <w:trPr>
          <w:trHeight w:val="567" w:hRule="atLeast"/>
        </w:trPr>
        <w:tc>
          <w:tcPr>
            <w:tcW w:w="4111"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hint="eastAsia" w:ascii="宋体" w:hAnsi="宋体" w:eastAsia="宋体" w:cs="宋体"/>
                <w:color w:val="auto"/>
                <w:sz w:val="21"/>
                <w:szCs w:val="21"/>
                <w:highlight w:val="none"/>
              </w:rPr>
              <w:t>详细设计</w:t>
            </w:r>
          </w:p>
        </w:tc>
        <w:tc>
          <w:tcPr>
            <w:tcW w:w="2835"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ascii="宋体" w:hAnsi="宋体" w:eastAsia="宋体" w:cs="宋体"/>
                <w:color w:val="auto"/>
                <w:sz w:val="21"/>
                <w:szCs w:val="21"/>
                <w:highlight w:val="none"/>
              </w:rPr>
              <w:t>1</w:t>
            </w:r>
            <w:r>
              <w:rPr>
                <w:rStyle w:val="43"/>
                <w:rFonts w:hint="eastAsia" w:ascii="宋体" w:hAnsi="宋体" w:eastAsia="宋体" w:cs="宋体"/>
                <w:color w:val="auto"/>
                <w:sz w:val="21"/>
                <w:szCs w:val="21"/>
                <w:highlight w:val="none"/>
              </w:rPr>
              <w:t>月</w:t>
            </w:r>
          </w:p>
        </w:tc>
      </w:tr>
      <w:tr>
        <w:tblPrEx>
          <w:tblCellMar>
            <w:top w:w="0" w:type="dxa"/>
            <w:left w:w="108" w:type="dxa"/>
            <w:bottom w:w="0" w:type="dxa"/>
            <w:right w:w="108" w:type="dxa"/>
          </w:tblCellMar>
        </w:tblPrEx>
        <w:trPr>
          <w:trHeight w:val="567" w:hRule="atLeast"/>
        </w:trPr>
        <w:tc>
          <w:tcPr>
            <w:tcW w:w="4111"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hint="eastAsia" w:ascii="宋体" w:hAnsi="宋体" w:eastAsia="宋体" w:cs="宋体"/>
                <w:color w:val="auto"/>
                <w:sz w:val="21"/>
                <w:szCs w:val="21"/>
                <w:highlight w:val="none"/>
              </w:rPr>
              <w:t>土建工程</w:t>
            </w:r>
          </w:p>
        </w:tc>
        <w:tc>
          <w:tcPr>
            <w:tcW w:w="2835"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ascii="宋体" w:hAnsi="宋体" w:cs="宋体"/>
                <w:color w:val="auto"/>
                <w:sz w:val="21"/>
                <w:szCs w:val="21"/>
                <w:highlight w:val="none"/>
              </w:rPr>
              <w:t>3</w:t>
            </w:r>
            <w:r>
              <w:rPr>
                <w:rStyle w:val="43"/>
                <w:rFonts w:hint="eastAsia" w:ascii="宋体" w:hAnsi="宋体" w:eastAsia="宋体" w:cs="宋体"/>
                <w:color w:val="auto"/>
                <w:sz w:val="21"/>
                <w:szCs w:val="21"/>
                <w:highlight w:val="none"/>
              </w:rPr>
              <w:t>月</w:t>
            </w:r>
          </w:p>
        </w:tc>
      </w:tr>
      <w:tr>
        <w:tblPrEx>
          <w:tblCellMar>
            <w:top w:w="0" w:type="dxa"/>
            <w:left w:w="108" w:type="dxa"/>
            <w:bottom w:w="0" w:type="dxa"/>
            <w:right w:w="108" w:type="dxa"/>
          </w:tblCellMar>
        </w:tblPrEx>
        <w:trPr>
          <w:trHeight w:val="567" w:hRule="atLeast"/>
        </w:trPr>
        <w:tc>
          <w:tcPr>
            <w:tcW w:w="4111"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hint="eastAsia" w:ascii="宋体" w:hAnsi="宋体" w:eastAsia="宋体" w:cs="宋体"/>
                <w:color w:val="auto"/>
                <w:sz w:val="21"/>
                <w:szCs w:val="21"/>
                <w:highlight w:val="none"/>
              </w:rPr>
              <w:t>设备与材料采购</w:t>
            </w:r>
          </w:p>
        </w:tc>
        <w:tc>
          <w:tcPr>
            <w:tcW w:w="2835"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ascii="宋体" w:hAnsi="宋体" w:cs="宋体"/>
                <w:color w:val="auto"/>
                <w:sz w:val="21"/>
                <w:szCs w:val="21"/>
                <w:highlight w:val="none"/>
              </w:rPr>
              <w:t>4</w:t>
            </w:r>
            <w:r>
              <w:rPr>
                <w:rStyle w:val="43"/>
                <w:rFonts w:hint="eastAsia" w:ascii="宋体" w:hAnsi="宋体" w:eastAsia="宋体" w:cs="宋体"/>
                <w:color w:val="auto"/>
                <w:sz w:val="21"/>
                <w:szCs w:val="21"/>
                <w:highlight w:val="none"/>
              </w:rPr>
              <w:t>月</w:t>
            </w:r>
          </w:p>
        </w:tc>
      </w:tr>
      <w:tr>
        <w:tblPrEx>
          <w:tblCellMar>
            <w:top w:w="0" w:type="dxa"/>
            <w:left w:w="108" w:type="dxa"/>
            <w:bottom w:w="0" w:type="dxa"/>
            <w:right w:w="108" w:type="dxa"/>
          </w:tblCellMar>
        </w:tblPrEx>
        <w:trPr>
          <w:trHeight w:val="567" w:hRule="atLeast"/>
        </w:trPr>
        <w:tc>
          <w:tcPr>
            <w:tcW w:w="4111"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hint="eastAsia" w:ascii="宋体" w:hAnsi="宋体" w:eastAsia="宋体" w:cs="宋体"/>
                <w:color w:val="auto"/>
                <w:sz w:val="21"/>
                <w:szCs w:val="21"/>
                <w:highlight w:val="none"/>
              </w:rPr>
              <w:t>安装工程</w:t>
            </w:r>
          </w:p>
        </w:tc>
        <w:tc>
          <w:tcPr>
            <w:tcW w:w="2835"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ascii="宋体" w:hAnsi="宋体" w:cs="宋体"/>
                <w:color w:val="auto"/>
                <w:sz w:val="21"/>
                <w:szCs w:val="21"/>
                <w:highlight w:val="none"/>
              </w:rPr>
              <w:t>3</w:t>
            </w:r>
            <w:r>
              <w:rPr>
                <w:rStyle w:val="43"/>
                <w:rFonts w:hint="eastAsia" w:ascii="宋体" w:hAnsi="宋体" w:eastAsia="宋体" w:cs="宋体"/>
                <w:color w:val="auto"/>
                <w:sz w:val="21"/>
                <w:szCs w:val="21"/>
                <w:highlight w:val="none"/>
              </w:rPr>
              <w:t>月</w:t>
            </w:r>
          </w:p>
        </w:tc>
      </w:tr>
      <w:tr>
        <w:tblPrEx>
          <w:tblCellMar>
            <w:top w:w="0" w:type="dxa"/>
            <w:left w:w="108" w:type="dxa"/>
            <w:bottom w:w="0" w:type="dxa"/>
            <w:right w:w="108" w:type="dxa"/>
          </w:tblCellMar>
        </w:tblPrEx>
        <w:trPr>
          <w:trHeight w:val="567" w:hRule="atLeast"/>
        </w:trPr>
        <w:tc>
          <w:tcPr>
            <w:tcW w:w="4111"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hint="eastAsia" w:ascii="宋体" w:hAnsi="宋体" w:eastAsia="宋体" w:cs="宋体"/>
                <w:color w:val="auto"/>
                <w:sz w:val="21"/>
                <w:szCs w:val="21"/>
                <w:highlight w:val="none"/>
              </w:rPr>
              <w:t>单机与联动试车</w:t>
            </w:r>
          </w:p>
        </w:tc>
        <w:tc>
          <w:tcPr>
            <w:tcW w:w="2835"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ascii="宋体" w:hAnsi="宋体" w:eastAsia="宋体" w:cs="宋体"/>
                <w:color w:val="auto"/>
                <w:sz w:val="21"/>
                <w:szCs w:val="21"/>
                <w:highlight w:val="none"/>
              </w:rPr>
              <w:t>1</w:t>
            </w:r>
            <w:r>
              <w:rPr>
                <w:rStyle w:val="43"/>
                <w:rFonts w:hint="eastAsia" w:ascii="宋体" w:hAnsi="宋体" w:eastAsia="宋体" w:cs="宋体"/>
                <w:color w:val="auto"/>
                <w:sz w:val="21"/>
                <w:szCs w:val="21"/>
                <w:highlight w:val="none"/>
              </w:rPr>
              <w:t>月</w:t>
            </w:r>
          </w:p>
        </w:tc>
      </w:tr>
      <w:tr>
        <w:tblPrEx>
          <w:tblCellMar>
            <w:top w:w="0" w:type="dxa"/>
            <w:left w:w="108" w:type="dxa"/>
            <w:bottom w:w="0" w:type="dxa"/>
            <w:right w:w="108" w:type="dxa"/>
          </w:tblCellMar>
        </w:tblPrEx>
        <w:trPr>
          <w:trHeight w:val="567" w:hRule="atLeast"/>
        </w:trPr>
        <w:tc>
          <w:tcPr>
            <w:tcW w:w="4111"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hint="eastAsia" w:ascii="宋体" w:hAnsi="宋体" w:eastAsia="宋体" w:cs="宋体"/>
                <w:color w:val="auto"/>
                <w:sz w:val="21"/>
                <w:szCs w:val="21"/>
                <w:highlight w:val="none"/>
              </w:rPr>
              <w:t>投料试车与考核</w:t>
            </w:r>
          </w:p>
        </w:tc>
        <w:tc>
          <w:tcPr>
            <w:tcW w:w="2835" w:type="dxa"/>
            <w:vAlign w:val="center"/>
          </w:tcPr>
          <w:p>
            <w:pPr>
              <w:autoSpaceDE w:val="0"/>
              <w:autoSpaceDN w:val="0"/>
              <w:adjustRightInd w:val="0"/>
              <w:snapToGrid w:val="0"/>
              <w:spacing w:line="400" w:lineRule="exact"/>
              <w:ind w:firstLine="420" w:firstLineChars="200"/>
              <w:jc w:val="center"/>
              <w:rPr>
                <w:rStyle w:val="43"/>
                <w:rFonts w:ascii="宋体" w:hAnsi="Calibri" w:eastAsia="宋体" w:cs="宋体"/>
                <w:color w:val="auto"/>
                <w:sz w:val="21"/>
                <w:szCs w:val="21"/>
                <w:highlight w:val="none"/>
              </w:rPr>
            </w:pPr>
            <w:r>
              <w:rPr>
                <w:rStyle w:val="43"/>
                <w:rFonts w:ascii="宋体" w:hAnsi="宋体" w:eastAsia="宋体" w:cs="宋体"/>
                <w:color w:val="auto"/>
                <w:sz w:val="21"/>
                <w:szCs w:val="21"/>
                <w:highlight w:val="none"/>
              </w:rPr>
              <w:t>1</w:t>
            </w:r>
            <w:r>
              <w:rPr>
                <w:rStyle w:val="43"/>
                <w:rFonts w:hint="eastAsia" w:ascii="宋体" w:hAnsi="宋体" w:eastAsia="宋体" w:cs="宋体"/>
                <w:color w:val="auto"/>
                <w:sz w:val="21"/>
                <w:szCs w:val="21"/>
                <w:highlight w:val="none"/>
              </w:rPr>
              <w:t>月</w:t>
            </w:r>
          </w:p>
        </w:tc>
      </w:tr>
    </w:tbl>
    <w:p>
      <w:pPr>
        <w:pStyle w:val="32"/>
        <w:spacing w:line="560" w:lineRule="exact"/>
        <w:ind w:firstLine="31680"/>
        <w:jc w:val="left"/>
        <w:rPr>
          <w:rFonts w:ascii="宋体" w:cs="宋体"/>
          <w:bCs/>
          <w:color w:val="auto"/>
          <w:sz w:val="28"/>
          <w:szCs w:val="28"/>
          <w:highlight w:val="none"/>
        </w:rPr>
      </w:pPr>
      <w:r>
        <w:rPr>
          <w:rFonts w:hint="eastAsia" w:ascii="宋体" w:hAnsi="宋体" w:cs="宋体"/>
          <w:bCs/>
          <w:color w:val="auto"/>
          <w:sz w:val="28"/>
          <w:szCs w:val="28"/>
          <w:highlight w:val="none"/>
        </w:rPr>
        <w:t>上述各个阶段相互交错进行。结合现有装置的建设经验，本装置的建设期从基础设开始时计算起，至投产考核完毕共</w:t>
      </w:r>
      <w:r>
        <w:rPr>
          <w:rFonts w:ascii="宋体" w:hAnsi="宋体" w:cs="宋体"/>
          <w:bCs/>
          <w:color w:val="auto"/>
          <w:sz w:val="28"/>
          <w:szCs w:val="28"/>
          <w:highlight w:val="none"/>
        </w:rPr>
        <w:t>12</w:t>
      </w:r>
      <w:r>
        <w:rPr>
          <w:rFonts w:hint="eastAsia" w:ascii="宋体" w:hAnsi="宋体" w:cs="宋体"/>
          <w:bCs/>
          <w:color w:val="auto"/>
          <w:sz w:val="28"/>
          <w:szCs w:val="28"/>
          <w:highlight w:val="none"/>
        </w:rPr>
        <w:t>个月。</w:t>
      </w:r>
    </w:p>
    <w:p>
      <w:pPr>
        <w:pStyle w:val="32"/>
        <w:spacing w:line="560" w:lineRule="exact"/>
        <w:ind w:firstLine="31680"/>
        <w:jc w:val="left"/>
        <w:rPr>
          <w:rFonts w:ascii="宋体" w:cs="宋体"/>
          <w:bCs/>
          <w:color w:val="auto"/>
          <w:sz w:val="28"/>
          <w:szCs w:val="28"/>
          <w:highlight w:val="none"/>
        </w:rPr>
      </w:pPr>
      <w:bookmarkStart w:id="1275" w:name="_Toc266341714"/>
      <w:bookmarkStart w:id="1276" w:name="_Toc422904643"/>
      <w:bookmarkStart w:id="1277" w:name="_Toc4296"/>
      <w:bookmarkStart w:id="1278" w:name="_Toc267915140"/>
      <w:bookmarkStart w:id="1279" w:name="_Toc257019890"/>
      <w:bookmarkStart w:id="1280" w:name="_Toc253085880"/>
      <w:bookmarkStart w:id="1281" w:name="_Toc235693257"/>
      <w:bookmarkStart w:id="1282" w:name="_Toc235241706"/>
      <w:r>
        <w:rPr>
          <w:rFonts w:hint="eastAsia" w:ascii="宋体" w:hAnsi="宋体" w:cs="宋体"/>
          <w:bCs/>
          <w:color w:val="auto"/>
          <w:sz w:val="28"/>
          <w:szCs w:val="28"/>
          <w:highlight w:val="none"/>
        </w:rPr>
        <w:t>（</w:t>
      </w:r>
      <w:r>
        <w:rPr>
          <w:rFonts w:ascii="宋体" w:hAnsi="宋体" w:cs="宋体"/>
          <w:bCs/>
          <w:color w:val="auto"/>
          <w:sz w:val="28"/>
          <w:szCs w:val="28"/>
          <w:highlight w:val="none"/>
        </w:rPr>
        <w:t>2</w:t>
      </w:r>
      <w:r>
        <w:rPr>
          <w:rFonts w:hint="eastAsia" w:ascii="宋体" w:hAnsi="宋体" w:cs="宋体"/>
          <w:bCs/>
          <w:color w:val="auto"/>
          <w:sz w:val="28"/>
          <w:szCs w:val="28"/>
          <w:highlight w:val="none"/>
        </w:rPr>
        <w:t>）项目实施初步进度表</w:t>
      </w:r>
      <w:bookmarkEnd w:id="1275"/>
      <w:bookmarkEnd w:id="1276"/>
      <w:bookmarkEnd w:id="1277"/>
      <w:bookmarkEnd w:id="1278"/>
      <w:bookmarkEnd w:id="1279"/>
      <w:bookmarkEnd w:id="1280"/>
      <w:bookmarkEnd w:id="1281"/>
      <w:bookmarkEnd w:id="1282"/>
    </w:p>
    <w:p>
      <w:pPr>
        <w:pStyle w:val="32"/>
        <w:spacing w:line="560" w:lineRule="exact"/>
        <w:ind w:left="425" w:firstLine="31680"/>
        <w:jc w:val="left"/>
        <w:rPr>
          <w:rFonts w:ascii="宋体" w:cs="宋体"/>
          <w:bCs/>
          <w:color w:val="auto"/>
          <w:sz w:val="28"/>
          <w:szCs w:val="28"/>
          <w:highlight w:val="none"/>
        </w:rPr>
      </w:pPr>
    </w:p>
    <w:p>
      <w:pPr>
        <w:pStyle w:val="32"/>
        <w:spacing w:line="560" w:lineRule="exact"/>
        <w:ind w:left="480" w:firstLine="0" w:firstLineChars="0"/>
        <w:jc w:val="left"/>
        <w:rPr>
          <w:rStyle w:val="43"/>
          <w:rFonts w:ascii="宋体" w:hAnsi="Calibri" w:eastAsia="宋体" w:cs="宋体"/>
          <w:bCs/>
          <w:color w:val="auto"/>
          <w:sz w:val="28"/>
          <w:szCs w:val="28"/>
          <w:highlight w:val="none"/>
        </w:rPr>
      </w:pPr>
    </w:p>
    <w:p>
      <w:pPr>
        <w:pStyle w:val="32"/>
        <w:spacing w:line="560" w:lineRule="exact"/>
        <w:ind w:left="480" w:firstLine="0" w:firstLineChars="0"/>
        <w:jc w:val="left"/>
        <w:rPr>
          <w:rStyle w:val="43"/>
          <w:rFonts w:ascii="宋体" w:hAnsi="Calibri" w:eastAsia="宋体" w:cs="宋体"/>
          <w:bCs/>
          <w:color w:val="auto"/>
          <w:sz w:val="28"/>
          <w:szCs w:val="28"/>
          <w:highlight w:val="none"/>
        </w:rPr>
      </w:pPr>
    </w:p>
    <w:p>
      <w:pPr>
        <w:pStyle w:val="32"/>
        <w:spacing w:line="560" w:lineRule="exact"/>
        <w:ind w:left="480" w:firstLine="0" w:firstLineChars="0"/>
        <w:jc w:val="left"/>
        <w:rPr>
          <w:rStyle w:val="43"/>
          <w:rFonts w:ascii="宋体" w:hAnsi="Calibri" w:eastAsia="宋体" w:cs="宋体"/>
          <w:bCs/>
          <w:color w:val="auto"/>
          <w:sz w:val="28"/>
          <w:szCs w:val="28"/>
          <w:highlight w:val="none"/>
        </w:rPr>
      </w:pPr>
    </w:p>
    <w:tbl>
      <w:tblPr>
        <w:tblStyle w:val="16"/>
        <w:tblpPr w:leftFromText="180" w:rightFromText="180" w:vertAnchor="text" w:horzAnchor="page" w:tblpXSpec="center" w:tblpY="362"/>
        <w:tblOverlap w:val="never"/>
        <w:tblW w:w="7681"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28" w:type="dxa"/>
          <w:bottom w:w="0" w:type="dxa"/>
          <w:right w:w="28" w:type="dxa"/>
        </w:tblCellMar>
      </w:tblPr>
      <w:tblGrid>
        <w:gridCol w:w="1660"/>
        <w:gridCol w:w="454"/>
        <w:gridCol w:w="454"/>
        <w:gridCol w:w="454"/>
        <w:gridCol w:w="454"/>
        <w:gridCol w:w="454"/>
        <w:gridCol w:w="454"/>
        <w:gridCol w:w="454"/>
        <w:gridCol w:w="454"/>
        <w:gridCol w:w="454"/>
        <w:gridCol w:w="454"/>
        <w:gridCol w:w="454"/>
        <w:gridCol w:w="454"/>
        <w:gridCol w:w="573"/>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51" w:hRule="exact"/>
          <w:jc w:val="center"/>
        </w:trPr>
        <w:tc>
          <w:tcPr>
            <w:tcW w:w="1660" w:type="dxa"/>
            <w:shd w:val="clear" w:color="auto" w:fill="E0E0E0"/>
            <w:vAlign w:val="center"/>
          </w:tcPr>
          <w:p>
            <w:pPr>
              <w:pStyle w:val="46"/>
              <w:tabs>
                <w:tab w:val="right" w:pos="1840"/>
              </w:tabs>
              <w:rPr>
                <w:rFonts w:hAnsi="宋体" w:cs="宋体"/>
                <w:color w:val="auto"/>
                <w:szCs w:val="24"/>
                <w:highlight w:val="none"/>
              </w:rPr>
            </w:pPr>
            <w:r>
              <w:rPr>
                <w:color w:val="auto"/>
                <w:highlight w:val="none"/>
              </w:rPr>
              <mc:AlternateContent>
                <mc:Choice Requires="wps">
                  <w:drawing>
                    <wp:anchor distT="0" distB="0" distL="114300" distR="114300" simplePos="0" relativeHeight="251664384" behindDoc="0" locked="0" layoutInCell="1" allowOverlap="1">
                      <wp:simplePos x="0" y="0"/>
                      <wp:positionH relativeFrom="column">
                        <wp:posOffset>-24765</wp:posOffset>
                      </wp:positionH>
                      <wp:positionV relativeFrom="paragraph">
                        <wp:posOffset>28575</wp:posOffset>
                      </wp:positionV>
                      <wp:extent cx="1009015" cy="514350"/>
                      <wp:effectExtent l="0" t="0" r="0" b="0"/>
                      <wp:wrapNone/>
                      <wp:docPr id="6" name="直线 6"/>
                      <wp:cNvGraphicFramePr/>
                      <a:graphic xmlns:a="http://schemas.openxmlformats.org/drawingml/2006/main">
                        <a:graphicData uri="http://schemas.microsoft.com/office/word/2010/wordprocessingShape">
                          <wps:wsp>
                            <wps:cNvCnPr/>
                            <wps:spPr>
                              <a:xfrm flipH="1">
                                <a:off x="0" y="0"/>
                                <a:ext cx="1009015" cy="51435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直线 6" o:spid="_x0000_s1026" o:spt="20" style="position:absolute;left:0pt;flip:x;margin-left:-1.95pt;margin-top:2.25pt;height:40.5pt;width:79.45pt;z-index:251664384;mso-width-relative:page;mso-height-relative:page;" filled="f" stroked="t" coordsize="21600,21600" o:gfxdata="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CJykaXWAAAABwEAAA8AAAAAAAAAAQAgAAAAIgAAAGRycy9kb3ducmV2LnhtbFBLAQIU&#10;ABQAAAAIAIdO4kC7l2Wj9QEAAOoDAAAOAAAAAAAAAAEAIAAAACUBAABkcnMvZTJvRG9jLnhtbFBL&#10;BQYAAAAABgAGAFkBAACMBQAAAAA=&#10;">
                      <v:fill on="f" focussize="0,0"/>
                      <v:stroke color="#000000" joinstyle="round"/>
                      <v:imagedata o:title=""/>
                      <o:lock v:ext="edit" aspectratio="f"/>
                    </v:line>
                  </w:pict>
                </mc:Fallback>
              </mc:AlternateContent>
            </w:r>
            <w:r>
              <w:rPr>
                <w:rFonts w:hAnsi="宋体" w:cs="宋体"/>
                <w:color w:val="auto"/>
                <w:szCs w:val="24"/>
                <w:highlight w:val="none"/>
              </w:rPr>
              <w:t xml:space="preserve"> </w:t>
            </w:r>
            <w:r>
              <w:rPr>
                <w:rFonts w:hint="eastAsia" w:hAnsi="宋体" w:cs="宋体"/>
                <w:color w:val="auto"/>
                <w:szCs w:val="24"/>
                <w:highlight w:val="none"/>
              </w:rPr>
              <w:t>进度</w:t>
            </w:r>
            <w:r>
              <w:rPr>
                <w:rFonts w:hAnsi="宋体" w:cs="宋体"/>
                <w:color w:val="auto"/>
                <w:szCs w:val="24"/>
                <w:highlight w:val="none"/>
              </w:rPr>
              <w:t>(</w:t>
            </w:r>
            <w:r>
              <w:rPr>
                <w:rFonts w:hint="eastAsia" w:hAnsi="宋体" w:cs="宋体"/>
                <w:color w:val="auto"/>
                <w:szCs w:val="24"/>
                <w:highlight w:val="none"/>
              </w:rPr>
              <w:t>月</w:t>
            </w:r>
            <w:r>
              <w:rPr>
                <w:rFonts w:hAnsi="宋体" w:cs="宋体"/>
                <w:color w:val="auto"/>
                <w:szCs w:val="24"/>
                <w:highlight w:val="none"/>
              </w:rPr>
              <w:t>)</w:t>
            </w:r>
          </w:p>
          <w:p>
            <w:pPr>
              <w:pStyle w:val="46"/>
              <w:tabs>
                <w:tab w:val="right" w:pos="1840"/>
              </w:tabs>
              <w:ind w:firstLine="960" w:firstLineChars="400"/>
              <w:rPr>
                <w:rFonts w:hAnsi="宋体" w:cs="宋体"/>
                <w:color w:val="auto"/>
                <w:szCs w:val="24"/>
                <w:highlight w:val="none"/>
              </w:rPr>
            </w:pPr>
            <w:r>
              <w:rPr>
                <w:rFonts w:hint="eastAsia" w:hAnsi="宋体" w:cs="宋体"/>
                <w:color w:val="auto"/>
                <w:szCs w:val="24"/>
                <w:highlight w:val="none"/>
              </w:rPr>
              <w:t>阶段</w:t>
            </w:r>
          </w:p>
        </w:tc>
        <w:tc>
          <w:tcPr>
            <w:tcW w:w="454" w:type="dxa"/>
            <w:shd w:val="clear" w:color="auto" w:fill="E0E0E0"/>
            <w:vAlign w:val="center"/>
          </w:tcPr>
          <w:p>
            <w:pPr>
              <w:jc w:val="center"/>
              <w:rPr>
                <w:color w:val="auto"/>
                <w:highlight w:val="none"/>
              </w:rPr>
            </w:pPr>
            <w:r>
              <w:rPr>
                <w:color w:val="auto"/>
                <w:highlight w:val="none"/>
              </w:rPr>
              <w:t>1</w:t>
            </w:r>
          </w:p>
        </w:tc>
        <w:tc>
          <w:tcPr>
            <w:tcW w:w="454" w:type="dxa"/>
            <w:shd w:val="clear" w:color="auto" w:fill="E0E0E0"/>
            <w:vAlign w:val="center"/>
          </w:tcPr>
          <w:p>
            <w:pPr>
              <w:jc w:val="center"/>
              <w:rPr>
                <w:color w:val="auto"/>
                <w:highlight w:val="none"/>
              </w:rPr>
            </w:pPr>
            <w:r>
              <w:rPr>
                <w:color w:val="auto"/>
                <w:highlight w:val="none"/>
              </w:rPr>
              <w:t>2</w:t>
            </w:r>
          </w:p>
        </w:tc>
        <w:tc>
          <w:tcPr>
            <w:tcW w:w="454" w:type="dxa"/>
            <w:shd w:val="clear" w:color="auto" w:fill="E0E0E0"/>
            <w:vAlign w:val="center"/>
          </w:tcPr>
          <w:p>
            <w:pPr>
              <w:jc w:val="center"/>
              <w:rPr>
                <w:color w:val="auto"/>
                <w:highlight w:val="none"/>
              </w:rPr>
            </w:pPr>
            <w:r>
              <w:rPr>
                <w:color w:val="auto"/>
                <w:highlight w:val="none"/>
              </w:rPr>
              <w:t>3</w:t>
            </w:r>
          </w:p>
        </w:tc>
        <w:tc>
          <w:tcPr>
            <w:tcW w:w="454" w:type="dxa"/>
            <w:shd w:val="clear" w:color="auto" w:fill="E0E0E0"/>
            <w:vAlign w:val="center"/>
          </w:tcPr>
          <w:p>
            <w:pPr>
              <w:jc w:val="center"/>
              <w:rPr>
                <w:color w:val="auto"/>
                <w:highlight w:val="none"/>
              </w:rPr>
            </w:pPr>
            <w:r>
              <w:rPr>
                <w:color w:val="auto"/>
                <w:highlight w:val="none"/>
              </w:rPr>
              <w:t>4</w:t>
            </w:r>
          </w:p>
        </w:tc>
        <w:tc>
          <w:tcPr>
            <w:tcW w:w="454" w:type="dxa"/>
            <w:shd w:val="clear" w:color="auto" w:fill="E0E0E0"/>
            <w:vAlign w:val="center"/>
          </w:tcPr>
          <w:p>
            <w:pPr>
              <w:jc w:val="center"/>
              <w:rPr>
                <w:color w:val="auto"/>
                <w:highlight w:val="none"/>
              </w:rPr>
            </w:pPr>
            <w:r>
              <w:rPr>
                <w:color w:val="auto"/>
                <w:highlight w:val="none"/>
              </w:rPr>
              <w:t>5</w:t>
            </w:r>
          </w:p>
        </w:tc>
        <w:tc>
          <w:tcPr>
            <w:tcW w:w="454" w:type="dxa"/>
            <w:shd w:val="clear" w:color="auto" w:fill="E0E0E0"/>
            <w:vAlign w:val="center"/>
          </w:tcPr>
          <w:p>
            <w:pPr>
              <w:jc w:val="center"/>
              <w:rPr>
                <w:color w:val="auto"/>
                <w:highlight w:val="none"/>
              </w:rPr>
            </w:pPr>
            <w:r>
              <w:rPr>
                <w:color w:val="auto"/>
                <w:highlight w:val="none"/>
              </w:rPr>
              <w:t>6</w:t>
            </w:r>
          </w:p>
        </w:tc>
        <w:tc>
          <w:tcPr>
            <w:tcW w:w="454" w:type="dxa"/>
            <w:shd w:val="clear" w:color="auto" w:fill="E0E0E0"/>
            <w:vAlign w:val="center"/>
          </w:tcPr>
          <w:p>
            <w:pPr>
              <w:jc w:val="center"/>
              <w:rPr>
                <w:color w:val="auto"/>
                <w:highlight w:val="none"/>
              </w:rPr>
            </w:pPr>
            <w:r>
              <w:rPr>
                <w:color w:val="auto"/>
                <w:highlight w:val="none"/>
              </w:rPr>
              <w:t>7</w:t>
            </w:r>
          </w:p>
        </w:tc>
        <w:tc>
          <w:tcPr>
            <w:tcW w:w="454" w:type="dxa"/>
            <w:shd w:val="clear" w:color="auto" w:fill="E0E0E0"/>
            <w:vAlign w:val="center"/>
          </w:tcPr>
          <w:p>
            <w:pPr>
              <w:jc w:val="center"/>
              <w:rPr>
                <w:color w:val="auto"/>
                <w:highlight w:val="none"/>
              </w:rPr>
            </w:pPr>
            <w:r>
              <w:rPr>
                <w:color w:val="auto"/>
                <w:highlight w:val="none"/>
              </w:rPr>
              <w:t>8</w:t>
            </w:r>
          </w:p>
        </w:tc>
        <w:tc>
          <w:tcPr>
            <w:tcW w:w="454" w:type="dxa"/>
            <w:shd w:val="clear" w:color="auto" w:fill="E0E0E0"/>
            <w:vAlign w:val="center"/>
          </w:tcPr>
          <w:p>
            <w:pPr>
              <w:jc w:val="center"/>
              <w:rPr>
                <w:color w:val="auto"/>
                <w:highlight w:val="none"/>
              </w:rPr>
            </w:pPr>
            <w:r>
              <w:rPr>
                <w:color w:val="auto"/>
                <w:highlight w:val="none"/>
              </w:rPr>
              <w:t>9</w:t>
            </w:r>
          </w:p>
        </w:tc>
        <w:tc>
          <w:tcPr>
            <w:tcW w:w="454" w:type="dxa"/>
            <w:shd w:val="clear" w:color="auto" w:fill="E0E0E0"/>
            <w:vAlign w:val="center"/>
          </w:tcPr>
          <w:p>
            <w:pPr>
              <w:jc w:val="center"/>
              <w:rPr>
                <w:color w:val="auto"/>
                <w:highlight w:val="none"/>
              </w:rPr>
            </w:pPr>
            <w:r>
              <w:rPr>
                <w:color w:val="auto"/>
                <w:highlight w:val="none"/>
              </w:rPr>
              <w:t>10</w:t>
            </w:r>
          </w:p>
        </w:tc>
        <w:tc>
          <w:tcPr>
            <w:tcW w:w="454" w:type="dxa"/>
            <w:shd w:val="clear" w:color="auto" w:fill="E0E0E0"/>
            <w:vAlign w:val="center"/>
          </w:tcPr>
          <w:p>
            <w:pPr>
              <w:jc w:val="center"/>
              <w:rPr>
                <w:color w:val="auto"/>
                <w:highlight w:val="none"/>
              </w:rPr>
            </w:pPr>
            <w:r>
              <w:rPr>
                <w:color w:val="auto"/>
                <w:highlight w:val="none"/>
              </w:rPr>
              <w:t>11</w:t>
            </w:r>
          </w:p>
        </w:tc>
        <w:tc>
          <w:tcPr>
            <w:tcW w:w="454" w:type="dxa"/>
            <w:shd w:val="clear" w:color="auto" w:fill="E0E0E0"/>
            <w:vAlign w:val="center"/>
          </w:tcPr>
          <w:p>
            <w:pPr>
              <w:jc w:val="center"/>
              <w:rPr>
                <w:color w:val="auto"/>
                <w:highlight w:val="none"/>
              </w:rPr>
            </w:pPr>
            <w:r>
              <w:rPr>
                <w:color w:val="auto"/>
                <w:highlight w:val="none"/>
              </w:rPr>
              <w:t>12</w:t>
            </w:r>
          </w:p>
        </w:tc>
        <w:tc>
          <w:tcPr>
            <w:tcW w:w="573" w:type="dxa"/>
            <w:shd w:val="clear" w:color="auto" w:fill="E0E0E0"/>
            <w:vAlign w:val="center"/>
          </w:tcPr>
          <w:p>
            <w:pPr>
              <w:pStyle w:val="46"/>
              <w:rPr>
                <w:rFonts w:hAnsi="宋体" w:cs="宋体"/>
                <w:color w:val="auto"/>
                <w:szCs w:val="24"/>
                <w:highlight w:val="none"/>
              </w:rPr>
            </w:pPr>
            <w:r>
              <w:rPr>
                <w:rFonts w:hint="eastAsia" w:hAnsi="宋体" w:cs="宋体"/>
                <w:color w:val="auto"/>
                <w:szCs w:val="24"/>
                <w:highlight w:val="none"/>
              </w:rPr>
              <w:t>备注</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553" w:hRule="exact"/>
          <w:jc w:val="center"/>
        </w:trPr>
        <w:tc>
          <w:tcPr>
            <w:tcW w:w="1660" w:type="dxa"/>
            <w:vAlign w:val="center"/>
          </w:tcPr>
          <w:p>
            <w:pPr>
              <w:pStyle w:val="46"/>
              <w:rPr>
                <w:rFonts w:hAnsi="宋体" w:cs="宋体"/>
                <w:color w:val="auto"/>
                <w:sz w:val="21"/>
                <w:szCs w:val="21"/>
                <w:highlight w:val="none"/>
              </w:rPr>
            </w:pPr>
            <w:r>
              <w:rPr>
                <w:rFonts w:hint="eastAsia" w:hAnsi="宋体" w:cs="宋体"/>
                <w:color w:val="auto"/>
                <w:sz w:val="21"/>
                <w:szCs w:val="21"/>
                <w:highlight w:val="none"/>
              </w:rPr>
              <w:t>基础设计</w:t>
            </w:r>
          </w:p>
        </w:tc>
        <w:tc>
          <w:tcPr>
            <w:tcW w:w="454" w:type="dxa"/>
            <w:vAlign w:val="center"/>
          </w:tcPr>
          <w:p>
            <w:pPr>
              <w:pStyle w:val="46"/>
              <w:rPr>
                <w:rFonts w:hAnsi="宋体" w:cs="宋体"/>
                <w:color w:val="auto"/>
                <w:szCs w:val="24"/>
                <w:highlight w:val="none"/>
              </w:rPr>
            </w:pPr>
            <w:r>
              <w:rPr>
                <w:color w:val="auto"/>
                <w:highlight w:val="none"/>
              </w:rPr>
              <mc:AlternateContent>
                <mc:Choice Requires="wps">
                  <w:drawing>
                    <wp:anchor distT="0" distB="0" distL="114300" distR="114300" simplePos="0" relativeHeight="251666432" behindDoc="0" locked="0" layoutInCell="1" allowOverlap="1">
                      <wp:simplePos x="0" y="0"/>
                      <wp:positionH relativeFrom="column">
                        <wp:posOffset>31115</wp:posOffset>
                      </wp:positionH>
                      <wp:positionV relativeFrom="paragraph">
                        <wp:posOffset>178435</wp:posOffset>
                      </wp:positionV>
                      <wp:extent cx="515620" cy="9525"/>
                      <wp:effectExtent l="0" t="0" r="0" b="0"/>
                      <wp:wrapNone/>
                      <wp:docPr id="8" name="直线 7"/>
                      <wp:cNvGraphicFramePr/>
                      <a:graphic xmlns:a="http://schemas.openxmlformats.org/drawingml/2006/main">
                        <a:graphicData uri="http://schemas.microsoft.com/office/word/2010/wordprocessingShape">
                          <wps:wsp>
                            <wps:cNvCnPr/>
                            <wps:spPr>
                              <a:xfrm>
                                <a:off x="0" y="0"/>
                                <a:ext cx="515620" cy="9525"/>
                              </a:xfrm>
                              <a:prstGeom prst="line">
                                <a:avLst/>
                              </a:prstGeom>
                              <a:ln w="50800" cap="flat" cmpd="sng">
                                <a:solidFill>
                                  <a:srgbClr val="5F5F5F"/>
                                </a:solidFill>
                                <a:prstDash val="solid"/>
                                <a:headEnd type="none" w="med" len="med"/>
                                <a:tailEnd type="none" w="med" len="med"/>
                              </a:ln>
                            </wps:spPr>
                            <wps:bodyPr upright="1"/>
                          </wps:wsp>
                        </a:graphicData>
                      </a:graphic>
                    </wp:anchor>
                  </w:drawing>
                </mc:Choice>
                <mc:Fallback>
                  <w:pict>
                    <v:line id="直线 7" o:spid="_x0000_s1026" o:spt="20" style="position:absolute;left:0pt;margin-left:2.45pt;margin-top:14.05pt;height:0.75pt;width:40.6pt;z-index:251666432;mso-width-relative:page;mso-height-relative:page;" filled="f" stroked="t" coordsize="21600,21600" o:gfxdata="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STB2+9UA&#10;AAAGAQAADwAAAAAAAAABACAAAAAiAAAAZHJzL2Rvd25yZXYueG1sUEsBAhQAFAAAAAgAh07iQAdd&#10;x1vpAQAA3gMAAA4AAAAAAAAAAQAgAAAAJAEAAGRycy9lMm9Eb2MueG1sUEsFBgAAAAAGAAYAWQEA&#10;AH8FAAAAAA==&#10;">
                      <v:fill on="f" focussize="0,0"/>
                      <v:stroke weight="4pt" color="#5F5F5F" joinstyle="round"/>
                      <v:imagedata o:title=""/>
                      <o:lock v:ext="edit" aspectratio="f"/>
                    </v:line>
                  </w:pict>
                </mc:Fallback>
              </mc:AlternateConten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573" w:type="dxa"/>
            <w:vAlign w:val="center"/>
          </w:tcPr>
          <w:p>
            <w:pPr>
              <w:pStyle w:val="46"/>
              <w:rPr>
                <w:rFonts w:hAnsi="宋体" w:cs="宋体"/>
                <w:color w:val="auto"/>
                <w:szCs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567" w:hRule="exact"/>
          <w:jc w:val="center"/>
        </w:trPr>
        <w:tc>
          <w:tcPr>
            <w:tcW w:w="1660" w:type="dxa"/>
            <w:vAlign w:val="center"/>
          </w:tcPr>
          <w:p>
            <w:pPr>
              <w:pStyle w:val="46"/>
              <w:rPr>
                <w:rFonts w:hAnsi="宋体" w:cs="宋体"/>
                <w:color w:val="auto"/>
                <w:sz w:val="21"/>
                <w:szCs w:val="21"/>
                <w:highlight w:val="none"/>
              </w:rPr>
            </w:pPr>
            <w:r>
              <w:rPr>
                <w:rFonts w:hint="eastAsia" w:hAnsi="宋体" w:cs="宋体"/>
                <w:color w:val="auto"/>
                <w:sz w:val="21"/>
                <w:szCs w:val="21"/>
                <w:highlight w:val="none"/>
              </w:rPr>
              <w:t>详细设计</w: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r>
              <w:rPr>
                <w:color w:val="auto"/>
                <w:highlight w:val="none"/>
              </w:rPr>
              <mc:AlternateContent>
                <mc:Choice Requires="wps">
                  <w:drawing>
                    <wp:anchor distT="0" distB="0" distL="114300" distR="114300" simplePos="0" relativeHeight="251662336" behindDoc="0" locked="0" layoutInCell="1" allowOverlap="1">
                      <wp:simplePos x="0" y="0"/>
                      <wp:positionH relativeFrom="column">
                        <wp:posOffset>-9525</wp:posOffset>
                      </wp:positionH>
                      <wp:positionV relativeFrom="paragraph">
                        <wp:posOffset>120650</wp:posOffset>
                      </wp:positionV>
                      <wp:extent cx="266065" cy="3810"/>
                      <wp:effectExtent l="0" t="0" r="0" b="0"/>
                      <wp:wrapNone/>
                      <wp:docPr id="4" name="直线 8"/>
                      <wp:cNvGraphicFramePr/>
                      <a:graphic xmlns:a="http://schemas.openxmlformats.org/drawingml/2006/main">
                        <a:graphicData uri="http://schemas.microsoft.com/office/word/2010/wordprocessingShape">
                          <wps:wsp>
                            <wps:cNvCnPr/>
                            <wps:spPr>
                              <a:xfrm flipV="1">
                                <a:off x="0" y="0"/>
                                <a:ext cx="266065" cy="3810"/>
                              </a:xfrm>
                              <a:prstGeom prst="line">
                                <a:avLst/>
                              </a:prstGeom>
                              <a:ln w="50800" cap="flat" cmpd="sng">
                                <a:solidFill>
                                  <a:srgbClr val="5F5F5F"/>
                                </a:solidFill>
                                <a:prstDash val="solid"/>
                                <a:headEnd type="none" w="med" len="med"/>
                                <a:tailEnd type="none" w="med" len="med"/>
                              </a:ln>
                            </wps:spPr>
                            <wps:bodyPr upright="1"/>
                          </wps:wsp>
                        </a:graphicData>
                      </a:graphic>
                    </wp:anchor>
                  </w:drawing>
                </mc:Choice>
                <mc:Fallback>
                  <w:pict>
                    <v:line id="直线 8" o:spid="_x0000_s1026" o:spt="20" style="position:absolute;left:0pt;flip:y;margin-left:-0.75pt;margin-top:9.5pt;height:0.3pt;width:20.95pt;z-index:251662336;mso-width-relative:page;mso-height-relative:page;" filled="f" stroked="t" coordsize="21600,21600" o:gfxdata="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PJY7o7WAAAABwEAAA8AAAAAAAAAAQAgAAAAIgAAAGRycy9kb3ducmV2LnhtbFBLAQIU&#10;ABQAAAAIAIdO4kA2jTeZ9QEAAOgDAAAOAAAAAAAAAAEAIAAAACUBAABkcnMvZTJvRG9jLnhtbFBL&#10;BQYAAAAABgAGAFkBAACMBQAAAAA=&#10;">
                      <v:fill on="f" focussize="0,0"/>
                      <v:stroke weight="4pt" color="#5F5F5F" joinstyle="round"/>
                      <v:imagedata o:title=""/>
                      <o:lock v:ext="edit" aspectratio="f"/>
                    </v:line>
                  </w:pict>
                </mc:Fallback>
              </mc:AlternateConten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573" w:type="dxa"/>
            <w:vAlign w:val="center"/>
          </w:tcPr>
          <w:p>
            <w:pPr>
              <w:pStyle w:val="46"/>
              <w:rPr>
                <w:rFonts w:hAnsi="宋体" w:cs="宋体"/>
                <w:color w:val="auto"/>
                <w:szCs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567" w:hRule="exact"/>
          <w:jc w:val="center"/>
        </w:trPr>
        <w:tc>
          <w:tcPr>
            <w:tcW w:w="1660" w:type="dxa"/>
            <w:vAlign w:val="center"/>
          </w:tcPr>
          <w:p>
            <w:pPr>
              <w:pStyle w:val="46"/>
              <w:rPr>
                <w:rFonts w:hAnsi="宋体" w:cs="宋体"/>
                <w:color w:val="auto"/>
                <w:sz w:val="21"/>
                <w:szCs w:val="21"/>
                <w:highlight w:val="none"/>
              </w:rPr>
            </w:pPr>
            <w:r>
              <w:rPr>
                <w:rFonts w:hint="eastAsia" w:hAnsi="宋体" w:cs="宋体"/>
                <w:color w:val="auto"/>
                <w:sz w:val="21"/>
                <w:szCs w:val="21"/>
                <w:highlight w:val="none"/>
              </w:rPr>
              <w:t>土建工程</w: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r>
              <w:rPr>
                <w:color w:val="auto"/>
                <w:highlight w:val="none"/>
              </w:rPr>
              <mc:AlternateContent>
                <mc:Choice Requires="wps">
                  <w:drawing>
                    <wp:anchor distT="0" distB="0" distL="114300" distR="114300" simplePos="0" relativeHeight="251665408" behindDoc="0" locked="0" layoutInCell="1" allowOverlap="1">
                      <wp:simplePos x="0" y="0"/>
                      <wp:positionH relativeFrom="column">
                        <wp:posOffset>-17145</wp:posOffset>
                      </wp:positionH>
                      <wp:positionV relativeFrom="paragraph">
                        <wp:posOffset>161925</wp:posOffset>
                      </wp:positionV>
                      <wp:extent cx="842010" cy="8255"/>
                      <wp:effectExtent l="0" t="0" r="0" b="0"/>
                      <wp:wrapNone/>
                      <wp:docPr id="7" name="直线 9"/>
                      <wp:cNvGraphicFramePr/>
                      <a:graphic xmlns:a="http://schemas.openxmlformats.org/drawingml/2006/main">
                        <a:graphicData uri="http://schemas.microsoft.com/office/word/2010/wordprocessingShape">
                          <wps:wsp>
                            <wps:cNvCnPr/>
                            <wps:spPr>
                              <a:xfrm>
                                <a:off x="0" y="0"/>
                                <a:ext cx="842010" cy="8255"/>
                              </a:xfrm>
                              <a:prstGeom prst="line">
                                <a:avLst/>
                              </a:prstGeom>
                              <a:ln w="50800" cap="flat" cmpd="sng">
                                <a:solidFill>
                                  <a:srgbClr val="5F5F5F"/>
                                </a:solidFill>
                                <a:prstDash val="solid"/>
                                <a:headEnd type="none" w="med" len="med"/>
                                <a:tailEnd type="none" w="med" len="med"/>
                              </a:ln>
                            </wps:spPr>
                            <wps:bodyPr upright="1"/>
                          </wps:wsp>
                        </a:graphicData>
                      </a:graphic>
                    </wp:anchor>
                  </w:drawing>
                </mc:Choice>
                <mc:Fallback>
                  <w:pict>
                    <v:line id="直线 9" o:spid="_x0000_s1026" o:spt="20" style="position:absolute;left:0pt;margin-left:-1.35pt;margin-top:12.75pt;height:0.65pt;width:66.3pt;z-index:251665408;mso-width-relative:page;mso-height-relative:page;" filled="f" stroked="t" coordsize="21600,21600" o:gfxdata="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pd2l&#10;xdgAAAAIAQAADwAAAAAAAAABACAAAAAiAAAAZHJzL2Rvd25yZXYueG1sUEsBAhQAFAAAAAgAh07i&#10;QD1oSzzpAQAA3gMAAA4AAAAAAAAAAQAgAAAAJwEAAGRycy9lMm9Eb2MueG1sUEsFBgAAAAAGAAYA&#10;WQEAAIIFAAAAAA==&#10;">
                      <v:fill on="f" focussize="0,0"/>
                      <v:stroke weight="4pt" color="#5F5F5F" joinstyle="round"/>
                      <v:imagedata o:title=""/>
                      <o:lock v:ext="edit" aspectratio="f"/>
                    </v:line>
                  </w:pict>
                </mc:Fallback>
              </mc:AlternateConten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573" w:type="dxa"/>
            <w:vAlign w:val="center"/>
          </w:tcPr>
          <w:p>
            <w:pPr>
              <w:pStyle w:val="46"/>
              <w:rPr>
                <w:rFonts w:hAnsi="宋体" w:cs="宋体"/>
                <w:color w:val="auto"/>
                <w:szCs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567" w:hRule="exact"/>
          <w:jc w:val="center"/>
        </w:trPr>
        <w:tc>
          <w:tcPr>
            <w:tcW w:w="1660" w:type="dxa"/>
            <w:vAlign w:val="center"/>
          </w:tcPr>
          <w:p>
            <w:pPr>
              <w:pStyle w:val="46"/>
              <w:rPr>
                <w:rFonts w:hAnsi="宋体" w:cs="宋体"/>
                <w:color w:val="auto"/>
                <w:sz w:val="21"/>
                <w:szCs w:val="21"/>
                <w:highlight w:val="none"/>
              </w:rPr>
            </w:pPr>
            <w:r>
              <w:rPr>
                <w:rFonts w:hint="eastAsia" w:hAnsi="宋体" w:cs="宋体"/>
                <w:color w:val="auto"/>
                <w:sz w:val="21"/>
                <w:szCs w:val="21"/>
                <w:highlight w:val="none"/>
              </w:rPr>
              <w:t>设备材料采购</w: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r>
              <w:rPr>
                <w:color w:val="auto"/>
                <w:highlight w:val="none"/>
              </w:rPr>
              <mc:AlternateContent>
                <mc:Choice Requires="wps">
                  <w:drawing>
                    <wp:anchor distT="0" distB="0" distL="114300" distR="114300" simplePos="0" relativeHeight="251660288" behindDoc="0" locked="0" layoutInCell="1" allowOverlap="1">
                      <wp:simplePos x="0" y="0"/>
                      <wp:positionH relativeFrom="column">
                        <wp:posOffset>-6985</wp:posOffset>
                      </wp:positionH>
                      <wp:positionV relativeFrom="paragraph">
                        <wp:posOffset>201930</wp:posOffset>
                      </wp:positionV>
                      <wp:extent cx="1130300" cy="1270"/>
                      <wp:effectExtent l="0" t="0" r="0" b="0"/>
                      <wp:wrapNone/>
                      <wp:docPr id="2" name="直线 10"/>
                      <wp:cNvGraphicFramePr/>
                      <a:graphic xmlns:a="http://schemas.openxmlformats.org/drawingml/2006/main">
                        <a:graphicData uri="http://schemas.microsoft.com/office/word/2010/wordprocessingShape">
                          <wps:wsp>
                            <wps:cNvCnPr/>
                            <wps:spPr>
                              <a:xfrm>
                                <a:off x="0" y="0"/>
                                <a:ext cx="1130300" cy="1270"/>
                              </a:xfrm>
                              <a:prstGeom prst="line">
                                <a:avLst/>
                              </a:prstGeom>
                              <a:ln w="50800" cap="flat" cmpd="sng">
                                <a:solidFill>
                                  <a:srgbClr val="5F5F5F"/>
                                </a:solidFill>
                                <a:prstDash val="solid"/>
                                <a:headEnd type="none" w="med" len="med"/>
                                <a:tailEnd type="none" w="med" len="med"/>
                              </a:ln>
                            </wps:spPr>
                            <wps:bodyPr upright="1"/>
                          </wps:wsp>
                        </a:graphicData>
                      </a:graphic>
                    </wp:anchor>
                  </w:drawing>
                </mc:Choice>
                <mc:Fallback>
                  <w:pict>
                    <v:line id="直线 10" o:spid="_x0000_s1026" o:spt="20" style="position:absolute;left:0pt;margin-left:-0.55pt;margin-top:15.9pt;height:0.1pt;width:89pt;z-index:251660288;mso-width-relative:page;mso-height-relative:page;" filled="f" stroked="t" coordsize="21600,21600" o:gfxdata="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AXGc3dgAAAAIAQAADwAAAAAAAAABACAAAAAiAAAAZHJzL2Rvd25yZXYueG1sUEsBAhQAFAAAAAgA&#10;h07iQDrz5HDsAQAA4AMAAA4AAAAAAAAAAQAgAAAAJwEAAGRycy9lMm9Eb2MueG1sUEsFBgAAAAAG&#10;AAYAWQEAAIUFAAAAAA==&#10;">
                      <v:fill on="f" focussize="0,0"/>
                      <v:stroke weight="4pt" color="#5F5F5F" joinstyle="round"/>
                      <v:imagedata o:title=""/>
                      <o:lock v:ext="edit" aspectratio="f"/>
                    </v:line>
                  </w:pict>
                </mc:Fallback>
              </mc:AlternateConten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573" w:type="dxa"/>
            <w:vAlign w:val="center"/>
          </w:tcPr>
          <w:p>
            <w:pPr>
              <w:pStyle w:val="46"/>
              <w:rPr>
                <w:rFonts w:hAnsi="宋体" w:cs="宋体"/>
                <w:color w:val="auto"/>
                <w:szCs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567" w:hRule="exact"/>
          <w:jc w:val="center"/>
        </w:trPr>
        <w:tc>
          <w:tcPr>
            <w:tcW w:w="1660" w:type="dxa"/>
            <w:vAlign w:val="center"/>
          </w:tcPr>
          <w:p>
            <w:pPr>
              <w:pStyle w:val="46"/>
              <w:rPr>
                <w:rFonts w:hAnsi="宋体" w:cs="宋体"/>
                <w:color w:val="auto"/>
                <w:sz w:val="21"/>
                <w:szCs w:val="21"/>
                <w:highlight w:val="none"/>
              </w:rPr>
            </w:pPr>
            <w:r>
              <w:rPr>
                <w:rFonts w:hint="eastAsia" w:hAnsi="宋体" w:cs="宋体"/>
                <w:color w:val="auto"/>
                <w:sz w:val="21"/>
                <w:szCs w:val="21"/>
                <w:highlight w:val="none"/>
              </w:rPr>
              <w:t>安装工程</w: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r>
              <w:rPr>
                <w:color w:val="auto"/>
                <w:highlight w:val="none"/>
              </w:rPr>
              <mc:AlternateContent>
                <mc:Choice Requires="wps">
                  <w:drawing>
                    <wp:anchor distT="0" distB="0" distL="114300" distR="114300" simplePos="0" relativeHeight="251663360" behindDoc="0" locked="0" layoutInCell="1" allowOverlap="1">
                      <wp:simplePos x="0" y="0"/>
                      <wp:positionH relativeFrom="column">
                        <wp:posOffset>261620</wp:posOffset>
                      </wp:positionH>
                      <wp:positionV relativeFrom="paragraph">
                        <wp:posOffset>133985</wp:posOffset>
                      </wp:positionV>
                      <wp:extent cx="857250" cy="2540"/>
                      <wp:effectExtent l="0" t="0" r="0" b="0"/>
                      <wp:wrapNone/>
                      <wp:docPr id="5" name="直线 11"/>
                      <wp:cNvGraphicFramePr/>
                      <a:graphic xmlns:a="http://schemas.openxmlformats.org/drawingml/2006/main">
                        <a:graphicData uri="http://schemas.microsoft.com/office/word/2010/wordprocessingShape">
                          <wps:wsp>
                            <wps:cNvCnPr/>
                            <wps:spPr>
                              <a:xfrm>
                                <a:off x="0" y="0"/>
                                <a:ext cx="857250" cy="2540"/>
                              </a:xfrm>
                              <a:prstGeom prst="line">
                                <a:avLst/>
                              </a:prstGeom>
                              <a:ln w="50800" cap="flat" cmpd="sng">
                                <a:solidFill>
                                  <a:srgbClr val="5F5F5F"/>
                                </a:solidFill>
                                <a:prstDash val="solid"/>
                                <a:headEnd type="none" w="med" len="med"/>
                                <a:tailEnd type="none" w="med" len="med"/>
                              </a:ln>
                            </wps:spPr>
                            <wps:bodyPr upright="1"/>
                          </wps:wsp>
                        </a:graphicData>
                      </a:graphic>
                    </wp:anchor>
                  </w:drawing>
                </mc:Choice>
                <mc:Fallback>
                  <w:pict>
                    <v:line id="直线 11" o:spid="_x0000_s1026" o:spt="20" style="position:absolute;left:0pt;margin-left:20.6pt;margin-top:10.55pt;height:0.2pt;width:67.5pt;z-index:251663360;mso-width-relative:page;mso-height-relative:page;" filled="f" stroked="t" coordsize="21600,21600" o:gfxdata="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OTy&#10;aRLWAAAACAEAAA8AAAAAAAAAAQAgAAAAIgAAAGRycy9kb3ducmV2LnhtbFBLAQIUABQAAAAIAIdO&#10;4kCvojZp7AEAAN8DAAAOAAAAAAAAAAEAIAAAACUBAABkcnMvZTJvRG9jLnhtbFBLBQYAAAAABgAG&#10;AFkBAACDBQAAAAA=&#10;">
                      <v:fill on="f" focussize="0,0"/>
                      <v:stroke weight="4pt" color="#5F5F5F" joinstyle="round"/>
                      <v:imagedata o:title=""/>
                      <o:lock v:ext="edit" aspectratio="f"/>
                    </v:line>
                  </w:pict>
                </mc:Fallback>
              </mc:AlternateConten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573" w:type="dxa"/>
            <w:vAlign w:val="center"/>
          </w:tcPr>
          <w:p>
            <w:pPr>
              <w:pStyle w:val="46"/>
              <w:rPr>
                <w:rFonts w:hAnsi="宋体" w:cs="宋体"/>
                <w:color w:val="auto"/>
                <w:szCs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567" w:hRule="exact"/>
          <w:jc w:val="center"/>
        </w:trPr>
        <w:tc>
          <w:tcPr>
            <w:tcW w:w="1660" w:type="dxa"/>
            <w:vAlign w:val="center"/>
          </w:tcPr>
          <w:p>
            <w:pPr>
              <w:pStyle w:val="46"/>
              <w:rPr>
                <w:rFonts w:hAnsi="宋体" w:cs="宋体"/>
                <w:color w:val="auto"/>
                <w:sz w:val="21"/>
                <w:szCs w:val="21"/>
                <w:highlight w:val="none"/>
              </w:rPr>
            </w:pPr>
            <w:r>
              <w:rPr>
                <w:rFonts w:hint="eastAsia" w:hAnsi="宋体" w:cs="宋体"/>
                <w:color w:val="auto"/>
                <w:sz w:val="21"/>
                <w:szCs w:val="21"/>
                <w:highlight w:val="none"/>
              </w:rPr>
              <w:t>调试与联机试车</w: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r>
              <w:rPr>
                <w:color w:val="auto"/>
                <w:highlight w:val="none"/>
              </w:rPr>
              <mc:AlternateContent>
                <mc:Choice Requires="wps">
                  <w:drawing>
                    <wp:anchor distT="0" distB="0" distL="114300" distR="114300" simplePos="0" relativeHeight="251667456" behindDoc="0" locked="0" layoutInCell="1" allowOverlap="1">
                      <wp:simplePos x="0" y="0"/>
                      <wp:positionH relativeFrom="column">
                        <wp:posOffset>4445</wp:posOffset>
                      </wp:positionH>
                      <wp:positionV relativeFrom="paragraph">
                        <wp:posOffset>180340</wp:posOffset>
                      </wp:positionV>
                      <wp:extent cx="265430" cy="3175"/>
                      <wp:effectExtent l="0" t="0" r="0" b="0"/>
                      <wp:wrapNone/>
                      <wp:docPr id="9" name="直线 12"/>
                      <wp:cNvGraphicFramePr/>
                      <a:graphic xmlns:a="http://schemas.openxmlformats.org/drawingml/2006/main">
                        <a:graphicData uri="http://schemas.microsoft.com/office/word/2010/wordprocessingShape">
                          <wps:wsp>
                            <wps:cNvCnPr/>
                            <wps:spPr>
                              <a:xfrm flipV="1">
                                <a:off x="0" y="0"/>
                                <a:ext cx="265430" cy="3175"/>
                              </a:xfrm>
                              <a:prstGeom prst="line">
                                <a:avLst/>
                              </a:prstGeom>
                              <a:ln w="50800" cap="flat" cmpd="sng">
                                <a:solidFill>
                                  <a:srgbClr val="5F5F5F"/>
                                </a:solidFill>
                                <a:prstDash val="solid"/>
                                <a:headEnd type="none" w="med" len="med"/>
                                <a:tailEnd type="none" w="med" len="med"/>
                              </a:ln>
                            </wps:spPr>
                            <wps:bodyPr upright="1"/>
                          </wps:wsp>
                        </a:graphicData>
                      </a:graphic>
                    </wp:anchor>
                  </w:drawing>
                </mc:Choice>
                <mc:Fallback>
                  <w:pict>
                    <v:line id="直线 12" o:spid="_x0000_s1026" o:spt="20" style="position:absolute;left:0pt;flip:y;margin-left:0.35pt;margin-top:14.2pt;height:0.25pt;width:20.9pt;z-index:251667456;mso-width-relative:page;mso-height-relative:page;" filled="f" stroked="t" coordsize="21600,21600" o:gfxdata="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9N8tD9QAAAAFAQAADwAAAAAAAAABACAAAAAiAAAAZHJzL2Rvd25yZXYueG1sUEsBAhQAFAAA&#10;AAgAh07iQKv2WIjzAQAA6QMAAA4AAAAAAAAAAQAgAAAAIwEAAGRycy9lMm9Eb2MueG1sUEsFBgAA&#10;AAAGAAYAWQEAAIgFAAAAAA==&#10;">
                      <v:fill on="f" focussize="0,0"/>
                      <v:stroke weight="4pt" color="#5F5F5F" joinstyle="round"/>
                      <v:imagedata o:title=""/>
                      <o:lock v:ext="edit" aspectratio="f"/>
                    </v:line>
                  </w:pict>
                </mc:Fallback>
              </mc:AlternateContent>
            </w:r>
          </w:p>
        </w:tc>
        <w:tc>
          <w:tcPr>
            <w:tcW w:w="454" w:type="dxa"/>
            <w:vAlign w:val="center"/>
          </w:tcPr>
          <w:p>
            <w:pPr>
              <w:pStyle w:val="46"/>
              <w:rPr>
                <w:rFonts w:hAnsi="宋体" w:cs="宋体"/>
                <w:color w:val="auto"/>
                <w:szCs w:val="24"/>
                <w:highlight w:val="none"/>
              </w:rPr>
            </w:pPr>
          </w:p>
        </w:tc>
        <w:tc>
          <w:tcPr>
            <w:tcW w:w="573" w:type="dxa"/>
            <w:vAlign w:val="center"/>
          </w:tcPr>
          <w:p>
            <w:pPr>
              <w:pStyle w:val="46"/>
              <w:rPr>
                <w:rFonts w:hAnsi="宋体" w:cs="宋体"/>
                <w:color w:val="auto"/>
                <w:szCs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567" w:hRule="exact"/>
          <w:jc w:val="center"/>
        </w:trPr>
        <w:tc>
          <w:tcPr>
            <w:tcW w:w="1660" w:type="dxa"/>
            <w:vAlign w:val="center"/>
          </w:tcPr>
          <w:p>
            <w:pPr>
              <w:pStyle w:val="46"/>
              <w:rPr>
                <w:rFonts w:hAnsi="宋体" w:cs="宋体"/>
                <w:color w:val="auto"/>
                <w:sz w:val="21"/>
                <w:szCs w:val="21"/>
                <w:highlight w:val="none"/>
              </w:rPr>
            </w:pPr>
            <w:r>
              <w:rPr>
                <w:rFonts w:hint="eastAsia" w:hAnsi="宋体" w:cs="宋体"/>
                <w:color w:val="auto"/>
                <w:sz w:val="21"/>
                <w:szCs w:val="21"/>
                <w:highlight w:val="none"/>
              </w:rPr>
              <w:t>投料试车与考核</w:t>
            </w: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p>
        </w:tc>
        <w:tc>
          <w:tcPr>
            <w:tcW w:w="454" w:type="dxa"/>
            <w:vAlign w:val="center"/>
          </w:tcPr>
          <w:p>
            <w:pPr>
              <w:pStyle w:val="46"/>
              <w:rPr>
                <w:rFonts w:hAnsi="宋体" w:cs="宋体"/>
                <w:color w:val="auto"/>
                <w:szCs w:val="24"/>
                <w:highlight w:val="none"/>
              </w:rPr>
            </w:pPr>
            <w:r>
              <w:rPr>
                <w:color w:val="auto"/>
                <w:highlight w:val="none"/>
              </w:rPr>
              <mc:AlternateContent>
                <mc:Choice Requires="wps">
                  <w:drawing>
                    <wp:anchor distT="0" distB="0" distL="114300" distR="114300" simplePos="0" relativeHeight="251661312" behindDoc="0" locked="0" layoutInCell="1" allowOverlap="1">
                      <wp:simplePos x="0" y="0"/>
                      <wp:positionH relativeFrom="column">
                        <wp:posOffset>31750</wp:posOffset>
                      </wp:positionH>
                      <wp:positionV relativeFrom="paragraph">
                        <wp:posOffset>172085</wp:posOffset>
                      </wp:positionV>
                      <wp:extent cx="252095" cy="5080"/>
                      <wp:effectExtent l="0" t="0" r="0" b="0"/>
                      <wp:wrapNone/>
                      <wp:docPr id="3" name="直线 13"/>
                      <wp:cNvGraphicFramePr/>
                      <a:graphic xmlns:a="http://schemas.openxmlformats.org/drawingml/2006/main">
                        <a:graphicData uri="http://schemas.microsoft.com/office/word/2010/wordprocessingShape">
                          <wps:wsp>
                            <wps:cNvCnPr/>
                            <wps:spPr>
                              <a:xfrm flipV="1">
                                <a:off x="0" y="0"/>
                                <a:ext cx="252095" cy="5080"/>
                              </a:xfrm>
                              <a:prstGeom prst="line">
                                <a:avLst/>
                              </a:prstGeom>
                              <a:ln w="50800" cap="flat" cmpd="sng">
                                <a:solidFill>
                                  <a:srgbClr val="5F5F5F"/>
                                </a:solidFill>
                                <a:prstDash val="solid"/>
                                <a:headEnd type="none" w="med" len="med"/>
                                <a:tailEnd type="none" w="med" len="med"/>
                              </a:ln>
                            </wps:spPr>
                            <wps:bodyPr upright="1"/>
                          </wps:wsp>
                        </a:graphicData>
                      </a:graphic>
                    </wp:anchor>
                  </w:drawing>
                </mc:Choice>
                <mc:Fallback>
                  <w:pict>
                    <v:line id="直线 13" o:spid="_x0000_s1026" o:spt="20" style="position:absolute;left:0pt;flip:y;margin-left:2.5pt;margin-top:13.55pt;height:0.4pt;width:19.85pt;z-index:251661312;mso-width-relative:page;mso-height-relative:page;" filled="f" stroked="t" coordsize="21600,21600" o:gfxdata="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eRSzb1gAAAAYBAAAPAAAAAAAAAAEAIAAAACIAAABkcnMvZG93bnJldi54bWxQSwECFAAU&#10;AAAACACHTuJAdBV+XvMBAADpAwAADgAAAAAAAAABACAAAAAlAQAAZHJzL2Uyb0RvYy54bWxQSwUG&#10;AAAAAAYABgBZAQAAigUAAAAA&#10;">
                      <v:fill on="f" focussize="0,0"/>
                      <v:stroke weight="4pt" color="#5F5F5F" joinstyle="round"/>
                      <v:imagedata o:title=""/>
                      <o:lock v:ext="edit" aspectratio="f"/>
                    </v:line>
                  </w:pict>
                </mc:Fallback>
              </mc:AlternateContent>
            </w:r>
          </w:p>
        </w:tc>
        <w:tc>
          <w:tcPr>
            <w:tcW w:w="573" w:type="dxa"/>
            <w:vAlign w:val="center"/>
          </w:tcPr>
          <w:p>
            <w:pPr>
              <w:pStyle w:val="46"/>
              <w:rPr>
                <w:rFonts w:hAnsi="宋体" w:cs="宋体"/>
                <w:color w:val="auto"/>
                <w:szCs w:val="24"/>
                <w:highlight w:val="none"/>
              </w:rPr>
            </w:pPr>
          </w:p>
        </w:tc>
      </w:tr>
    </w:tbl>
    <w:p>
      <w:pPr>
        <w:rPr>
          <w:color w:val="auto"/>
          <w:highlight w:val="none"/>
        </w:rPr>
      </w:pPr>
    </w:p>
    <w:p>
      <w:pPr>
        <w:rPr>
          <w:color w:val="auto"/>
          <w:highlight w:val="none"/>
        </w:rPr>
        <w:sectPr>
          <w:pgSz w:w="11906" w:h="16838"/>
          <w:pgMar w:top="1440" w:right="1800" w:bottom="1440" w:left="1800" w:header="851" w:footer="992" w:gutter="0"/>
          <w:cols w:space="425" w:num="1"/>
          <w:docGrid w:type="lines" w:linePitch="312" w:charSpace="0"/>
        </w:sectPr>
      </w:pPr>
    </w:p>
    <w:p>
      <w:pPr>
        <w:pStyle w:val="45"/>
        <w:spacing w:beforeLines="0" w:afterLines="0" w:line="560" w:lineRule="exact"/>
        <w:ind w:firstLine="31680"/>
        <w:rPr>
          <w:color w:val="auto"/>
          <w:szCs w:val="32"/>
          <w:highlight w:val="none"/>
          <w:lang w:val="zh-CN"/>
        </w:rPr>
      </w:pPr>
      <w:bookmarkStart w:id="1283" w:name="_Toc15218_WPSOffice_Level1"/>
      <w:bookmarkStart w:id="1284" w:name="_Toc30860_WPSOffice_Level1"/>
      <w:bookmarkStart w:id="1285" w:name="_Toc14113"/>
      <w:bookmarkStart w:id="1286" w:name="_Toc9340_WPSOffice_Level1"/>
      <w:bookmarkStart w:id="1287" w:name="_Toc23198"/>
      <w:bookmarkStart w:id="1288" w:name="_Toc11363_WPSOffice_Level1"/>
      <w:bookmarkStart w:id="1289" w:name="_Toc14063"/>
      <w:bookmarkStart w:id="1290" w:name="_Toc32305"/>
      <w:bookmarkStart w:id="1291" w:name="_Toc8186"/>
      <w:bookmarkStart w:id="1292" w:name="_Toc21648"/>
      <w:r>
        <w:rPr>
          <w:rFonts w:hint="eastAsia"/>
          <w:color w:val="auto"/>
          <w:szCs w:val="32"/>
          <w:highlight w:val="none"/>
          <w:lang w:val="zh-CN"/>
        </w:rPr>
        <w:t>第十五章</w:t>
      </w:r>
      <w:r>
        <w:rPr>
          <w:color w:val="auto"/>
          <w:szCs w:val="32"/>
          <w:highlight w:val="none"/>
          <w:lang w:val="zh-CN"/>
        </w:rPr>
        <w:t xml:space="preserve"> </w:t>
      </w:r>
      <w:r>
        <w:rPr>
          <w:rFonts w:hint="eastAsia"/>
          <w:color w:val="auto"/>
          <w:szCs w:val="32"/>
          <w:highlight w:val="none"/>
          <w:lang w:val="zh-CN"/>
        </w:rPr>
        <w:t>投资估算与资金筹措</w:t>
      </w:r>
      <w:bookmarkEnd w:id="1283"/>
      <w:bookmarkEnd w:id="1284"/>
      <w:bookmarkEnd w:id="1285"/>
      <w:bookmarkEnd w:id="1286"/>
      <w:bookmarkEnd w:id="1287"/>
      <w:bookmarkEnd w:id="1288"/>
      <w:bookmarkEnd w:id="1289"/>
      <w:bookmarkEnd w:id="1290"/>
      <w:bookmarkEnd w:id="1291"/>
      <w:bookmarkEnd w:id="1292"/>
    </w:p>
    <w:p>
      <w:pPr>
        <w:pStyle w:val="32"/>
        <w:numPr>
          <w:ilvl w:val="0"/>
          <w:numId w:val="2"/>
        </w:numPr>
        <w:spacing w:line="560" w:lineRule="exact"/>
        <w:ind w:firstLine="31680"/>
        <w:jc w:val="left"/>
        <w:outlineLvl w:val="1"/>
        <w:rPr>
          <w:rStyle w:val="43"/>
          <w:rFonts w:ascii="宋体" w:hAnsi="Calibri" w:eastAsia="宋体" w:cs="宋体"/>
          <w:vanish/>
          <w:color w:val="auto"/>
          <w:sz w:val="28"/>
          <w:szCs w:val="28"/>
          <w:highlight w:val="none"/>
        </w:rPr>
      </w:pPr>
      <w:bookmarkStart w:id="1293" w:name="_Toc493755221"/>
      <w:bookmarkEnd w:id="1293"/>
      <w:bookmarkStart w:id="1294" w:name="_Toc486495381"/>
      <w:bookmarkEnd w:id="1294"/>
      <w:bookmarkStart w:id="1295" w:name="_Toc467419462"/>
      <w:bookmarkEnd w:id="1295"/>
      <w:bookmarkStart w:id="1296" w:name="_Toc485131031"/>
      <w:bookmarkEnd w:id="1296"/>
      <w:bookmarkStart w:id="1297" w:name="_Toc472090548"/>
      <w:bookmarkEnd w:id="1297"/>
      <w:bookmarkStart w:id="1298" w:name="_Toc485139380"/>
      <w:bookmarkEnd w:id="1298"/>
      <w:bookmarkStart w:id="1299" w:name="_Toc485073131"/>
      <w:bookmarkEnd w:id="1299"/>
      <w:bookmarkStart w:id="1300" w:name="_Toc485148835"/>
      <w:bookmarkEnd w:id="1300"/>
      <w:bookmarkStart w:id="1301" w:name="_Toc468190080"/>
      <w:bookmarkEnd w:id="1301"/>
      <w:bookmarkStart w:id="1302" w:name="_Toc485072525"/>
      <w:bookmarkEnd w:id="1302"/>
      <w:bookmarkStart w:id="1303" w:name="_Toc496512804"/>
      <w:bookmarkEnd w:id="1303"/>
      <w:bookmarkStart w:id="1304" w:name="_Toc22050"/>
      <w:bookmarkEnd w:id="1304"/>
      <w:bookmarkStart w:id="1305" w:name="_Toc20293"/>
      <w:bookmarkEnd w:id="1305"/>
      <w:bookmarkStart w:id="1306" w:name="_Toc2346"/>
      <w:bookmarkEnd w:id="1306"/>
      <w:bookmarkStart w:id="1307" w:name="_Toc497731222"/>
      <w:bookmarkEnd w:id="1307"/>
      <w:bookmarkStart w:id="1308" w:name="_Toc485072727"/>
      <w:bookmarkEnd w:id="1308"/>
      <w:bookmarkStart w:id="1309" w:name="_Toc485072929"/>
      <w:bookmarkEnd w:id="1309"/>
      <w:bookmarkStart w:id="1310" w:name="_Toc485139582"/>
      <w:bookmarkEnd w:id="1310"/>
      <w:bookmarkStart w:id="1311" w:name="_Toc472090973"/>
      <w:bookmarkEnd w:id="1311"/>
      <w:bookmarkStart w:id="1312" w:name="_Toc467420307"/>
      <w:bookmarkEnd w:id="1312"/>
      <w:bookmarkStart w:id="1313" w:name="_Toc486495651"/>
      <w:bookmarkEnd w:id="1313"/>
      <w:bookmarkStart w:id="1314" w:name="_Toc474941326"/>
      <w:bookmarkEnd w:id="1314"/>
      <w:bookmarkStart w:id="1315" w:name="_Toc492900320"/>
      <w:bookmarkEnd w:id="1315"/>
      <w:bookmarkStart w:id="1316" w:name="_Toc485071839"/>
      <w:bookmarkEnd w:id="1316"/>
      <w:bookmarkStart w:id="1317" w:name="_Toc467418935"/>
      <w:bookmarkEnd w:id="1317"/>
      <w:bookmarkStart w:id="1318" w:name="_Toc485071637"/>
      <w:bookmarkEnd w:id="1318"/>
      <w:bookmarkStart w:id="1319" w:name="_Toc475520108"/>
      <w:bookmarkEnd w:id="1319"/>
      <w:bookmarkStart w:id="1320" w:name="_Toc485079204"/>
      <w:bookmarkEnd w:id="1320"/>
      <w:bookmarkStart w:id="1321" w:name="_Toc26662"/>
      <w:bookmarkEnd w:id="1321"/>
      <w:bookmarkStart w:id="1322" w:name="_Toc485131234"/>
      <w:bookmarkEnd w:id="1322"/>
      <w:bookmarkStart w:id="1323" w:name="_Toc470509398"/>
      <w:bookmarkEnd w:id="1323"/>
    </w:p>
    <w:p>
      <w:pPr>
        <w:pStyle w:val="32"/>
        <w:spacing w:line="560" w:lineRule="exact"/>
        <w:ind w:firstLine="31680"/>
        <w:jc w:val="left"/>
        <w:outlineLvl w:val="1"/>
        <w:rPr>
          <w:rFonts w:ascii="宋体" w:cs="宋体"/>
          <w:color w:val="auto"/>
          <w:sz w:val="28"/>
          <w:szCs w:val="28"/>
          <w:highlight w:val="none"/>
        </w:rPr>
      </w:pPr>
      <w:bookmarkStart w:id="1324" w:name="_Toc7845_WPSOffice_Level2"/>
      <w:bookmarkStart w:id="1325" w:name="_Toc21537"/>
      <w:bookmarkStart w:id="1326" w:name="_Toc9856"/>
      <w:bookmarkStart w:id="1327" w:name="_Toc1903_WPSOffice_Level2"/>
      <w:bookmarkStart w:id="1328" w:name="_Toc29998"/>
      <w:bookmarkStart w:id="1329" w:name="_Toc20158"/>
      <w:bookmarkStart w:id="1330" w:name="_Toc1449"/>
      <w:bookmarkStart w:id="1331" w:name="_Toc548_WPSOffice_Level2"/>
      <w:bookmarkStart w:id="1332" w:name="_Toc21677"/>
      <w:bookmarkStart w:id="1333" w:name="_Toc31697_WPSOffice_Level2"/>
      <w:r>
        <w:rPr>
          <w:rFonts w:ascii="宋体" w:hAnsi="宋体" w:cs="宋体"/>
          <w:color w:val="auto"/>
          <w:sz w:val="28"/>
          <w:szCs w:val="28"/>
          <w:highlight w:val="none"/>
        </w:rPr>
        <w:t>15.1</w:t>
      </w:r>
      <w:r>
        <w:rPr>
          <w:rFonts w:hint="eastAsia" w:ascii="宋体" w:hAnsi="宋体" w:cs="宋体"/>
          <w:color w:val="auto"/>
          <w:sz w:val="28"/>
          <w:szCs w:val="28"/>
          <w:highlight w:val="none"/>
        </w:rPr>
        <w:t>投资估算的范围</w:t>
      </w:r>
      <w:bookmarkEnd w:id="1324"/>
      <w:bookmarkEnd w:id="1325"/>
      <w:bookmarkEnd w:id="1326"/>
      <w:bookmarkEnd w:id="1327"/>
      <w:bookmarkEnd w:id="1328"/>
      <w:bookmarkEnd w:id="1329"/>
      <w:bookmarkEnd w:id="1330"/>
      <w:bookmarkEnd w:id="1331"/>
      <w:bookmarkEnd w:id="1332"/>
      <w:bookmarkEnd w:id="1333"/>
    </w:p>
    <w:p>
      <w:pPr>
        <w:spacing w:line="560" w:lineRule="exact"/>
        <w:ind w:firstLine="560" w:firstLineChars="200"/>
        <w:rPr>
          <w:rStyle w:val="43"/>
          <w:rFonts w:ascii="宋体" w:hAnsi="Calibri" w:eastAsia="宋体" w:cs="宋体"/>
          <w:color w:val="auto"/>
          <w:sz w:val="28"/>
          <w:szCs w:val="28"/>
          <w:highlight w:val="none"/>
        </w:rPr>
      </w:pPr>
      <w:r>
        <w:rPr>
          <w:rStyle w:val="43"/>
          <w:rFonts w:hint="eastAsia" w:ascii="宋体" w:hAnsi="宋体" w:eastAsia="宋体" w:cs="宋体"/>
          <w:color w:val="auto"/>
          <w:sz w:val="28"/>
          <w:szCs w:val="28"/>
          <w:highlight w:val="none"/>
        </w:rPr>
        <w:t>本投资估算是</w:t>
      </w:r>
      <w:r>
        <w:rPr>
          <w:rFonts w:hint="eastAsia" w:ascii="宋体" w:hAnsi="宋体" w:cs="宋体"/>
          <w:bCs/>
          <w:color w:val="auto"/>
          <w:kern w:val="0"/>
          <w:sz w:val="28"/>
          <w:szCs w:val="28"/>
          <w:highlight w:val="none"/>
        </w:rPr>
        <w:t>：江苏索普新材料科技有限公司</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年次氯酸钠项目</w:t>
      </w:r>
      <w:r>
        <w:rPr>
          <w:rFonts w:hint="eastAsia" w:ascii="宋体" w:hAnsi="宋体" w:cs="宋体"/>
          <w:color w:val="auto"/>
          <w:sz w:val="28"/>
          <w:szCs w:val="28"/>
          <w:highlight w:val="none"/>
        </w:rPr>
        <w:t>生产装置</w:t>
      </w:r>
      <w:r>
        <w:rPr>
          <w:rStyle w:val="43"/>
          <w:rFonts w:hint="eastAsia" w:ascii="宋体" w:hAnsi="宋体" w:eastAsia="宋体" w:cs="宋体"/>
          <w:color w:val="auto"/>
          <w:sz w:val="28"/>
          <w:szCs w:val="28"/>
          <w:highlight w:val="none"/>
        </w:rPr>
        <w:t>的全部费用。</w:t>
      </w:r>
    </w:p>
    <w:p>
      <w:pPr>
        <w:pStyle w:val="32"/>
        <w:spacing w:line="560" w:lineRule="exact"/>
        <w:ind w:firstLine="31680"/>
        <w:jc w:val="left"/>
        <w:outlineLvl w:val="1"/>
        <w:rPr>
          <w:rFonts w:ascii="宋体" w:cs="宋体"/>
          <w:color w:val="auto"/>
          <w:sz w:val="28"/>
          <w:szCs w:val="28"/>
          <w:highlight w:val="none"/>
        </w:rPr>
      </w:pPr>
      <w:bookmarkStart w:id="1334" w:name="_Toc18443"/>
      <w:bookmarkStart w:id="1335" w:name="_Toc188"/>
      <w:bookmarkStart w:id="1336" w:name="_Toc264"/>
      <w:bookmarkStart w:id="1337" w:name="_Toc29224"/>
      <w:bookmarkStart w:id="1338" w:name="_Toc16717"/>
      <w:bookmarkStart w:id="1339" w:name="_Toc1481_WPSOffice_Level2"/>
      <w:bookmarkStart w:id="1340" w:name="_Toc31674_WPSOffice_Level2"/>
      <w:bookmarkStart w:id="1341" w:name="_Toc32629_WPSOffice_Level2"/>
      <w:bookmarkStart w:id="1342" w:name="_Toc22212_WPSOffice_Level2"/>
      <w:bookmarkStart w:id="1343" w:name="_Toc21535"/>
      <w:r>
        <w:rPr>
          <w:rFonts w:ascii="宋体" w:hAnsi="宋体" w:cs="宋体"/>
          <w:color w:val="auto"/>
          <w:sz w:val="28"/>
          <w:szCs w:val="28"/>
          <w:highlight w:val="none"/>
        </w:rPr>
        <w:t>15.2</w:t>
      </w:r>
      <w:r>
        <w:rPr>
          <w:rFonts w:hint="eastAsia" w:ascii="宋体" w:hAnsi="宋体" w:cs="宋体"/>
          <w:color w:val="auto"/>
          <w:sz w:val="28"/>
          <w:szCs w:val="28"/>
          <w:highlight w:val="none"/>
        </w:rPr>
        <w:t>编制依据</w:t>
      </w:r>
      <w:bookmarkEnd w:id="1334"/>
      <w:bookmarkEnd w:id="1335"/>
      <w:bookmarkEnd w:id="1336"/>
      <w:bookmarkEnd w:id="1337"/>
      <w:bookmarkEnd w:id="1338"/>
      <w:bookmarkEnd w:id="1339"/>
      <w:bookmarkEnd w:id="1340"/>
      <w:bookmarkEnd w:id="1341"/>
      <w:bookmarkEnd w:id="1342"/>
      <w:bookmarkEnd w:id="1343"/>
    </w:p>
    <w:p>
      <w:pPr>
        <w:pStyle w:val="32"/>
        <w:spacing w:line="560" w:lineRule="exact"/>
        <w:ind w:firstLine="31680"/>
        <w:jc w:val="left"/>
        <w:rPr>
          <w:rStyle w:val="43"/>
          <w:rFonts w:ascii="宋体" w:hAnsi="Calibri" w:eastAsia="宋体" w:cs="宋体"/>
          <w:color w:val="auto"/>
          <w:sz w:val="28"/>
          <w:szCs w:val="28"/>
          <w:highlight w:val="none"/>
        </w:rPr>
      </w:pPr>
      <w:r>
        <w:rPr>
          <w:rStyle w:val="43"/>
          <w:rFonts w:ascii="宋体" w:hAnsi="宋体" w:eastAsia="宋体" w:cs="宋体"/>
          <w:color w:val="auto"/>
          <w:sz w:val="28"/>
          <w:szCs w:val="28"/>
          <w:highlight w:val="none"/>
        </w:rPr>
        <w:t>1</w:t>
      </w:r>
      <w:r>
        <w:rPr>
          <w:rStyle w:val="43"/>
          <w:rFonts w:hint="eastAsia" w:ascii="宋体" w:hAnsi="宋体" w:eastAsia="宋体" w:cs="宋体"/>
          <w:color w:val="auto"/>
          <w:sz w:val="28"/>
          <w:szCs w:val="28"/>
          <w:highlight w:val="none"/>
        </w:rPr>
        <w:t>）本项目按照国家计委和建设部共同编制《建设项目经济评价方法与参数》第三版及国家对企业的有关法规及文件编制。</w:t>
      </w:r>
    </w:p>
    <w:p>
      <w:pPr>
        <w:pStyle w:val="32"/>
        <w:spacing w:line="560" w:lineRule="exact"/>
        <w:ind w:firstLine="31680"/>
        <w:jc w:val="left"/>
        <w:rPr>
          <w:rStyle w:val="43"/>
          <w:rFonts w:ascii="宋体" w:hAnsi="Calibri" w:eastAsia="宋体" w:cs="宋体"/>
          <w:color w:val="auto"/>
          <w:sz w:val="28"/>
          <w:szCs w:val="28"/>
          <w:highlight w:val="none"/>
        </w:rPr>
      </w:pPr>
      <w:r>
        <w:rPr>
          <w:rStyle w:val="43"/>
          <w:rFonts w:ascii="宋体" w:hAnsi="宋体" w:eastAsia="宋体" w:cs="宋体"/>
          <w:color w:val="auto"/>
          <w:sz w:val="28"/>
          <w:szCs w:val="28"/>
          <w:highlight w:val="none"/>
        </w:rPr>
        <w:t>2</w:t>
      </w:r>
      <w:r>
        <w:rPr>
          <w:rStyle w:val="43"/>
          <w:rFonts w:hint="eastAsia" w:ascii="宋体" w:hAnsi="宋体" w:eastAsia="宋体" w:cs="宋体"/>
          <w:color w:val="auto"/>
          <w:sz w:val="28"/>
          <w:szCs w:val="28"/>
          <w:highlight w:val="none"/>
        </w:rPr>
        <w:t>）化学工业部《工程建设其它费用编制规定》</w:t>
      </w:r>
      <w:r>
        <w:rPr>
          <w:rStyle w:val="43"/>
          <w:rFonts w:ascii="宋体" w:hAnsi="宋体" w:eastAsia="宋体" w:cs="宋体"/>
          <w:color w:val="auto"/>
          <w:sz w:val="28"/>
          <w:szCs w:val="28"/>
          <w:highlight w:val="none"/>
        </w:rPr>
        <w:t>1995</w:t>
      </w:r>
      <w:r>
        <w:rPr>
          <w:rStyle w:val="43"/>
          <w:rFonts w:hint="eastAsia" w:ascii="宋体" w:hAnsi="宋体" w:eastAsia="宋体" w:cs="宋体"/>
          <w:color w:val="auto"/>
          <w:sz w:val="28"/>
          <w:szCs w:val="28"/>
          <w:highlight w:val="none"/>
        </w:rPr>
        <w:t>。</w:t>
      </w:r>
    </w:p>
    <w:p>
      <w:pPr>
        <w:pStyle w:val="32"/>
        <w:spacing w:line="560" w:lineRule="exact"/>
        <w:ind w:firstLine="31680"/>
        <w:jc w:val="left"/>
        <w:rPr>
          <w:rStyle w:val="43"/>
          <w:rFonts w:ascii="宋体" w:hAnsi="Calibri" w:eastAsia="宋体" w:cs="宋体"/>
          <w:color w:val="auto"/>
          <w:sz w:val="28"/>
          <w:szCs w:val="28"/>
          <w:highlight w:val="none"/>
        </w:rPr>
      </w:pPr>
      <w:r>
        <w:rPr>
          <w:rStyle w:val="43"/>
          <w:rFonts w:ascii="宋体" w:hAnsi="宋体" w:eastAsia="宋体" w:cs="宋体"/>
          <w:color w:val="auto"/>
          <w:sz w:val="28"/>
          <w:szCs w:val="28"/>
          <w:highlight w:val="none"/>
        </w:rPr>
        <w:t>3</w:t>
      </w:r>
      <w:r>
        <w:rPr>
          <w:rStyle w:val="43"/>
          <w:rFonts w:hint="eastAsia" w:ascii="宋体" w:hAnsi="宋体" w:eastAsia="宋体" w:cs="宋体"/>
          <w:color w:val="auto"/>
          <w:sz w:val="28"/>
          <w:szCs w:val="28"/>
          <w:highlight w:val="none"/>
        </w:rPr>
        <w:t>）《化工建设建筑安装工程费用定额》</w:t>
      </w:r>
    </w:p>
    <w:p>
      <w:pPr>
        <w:pStyle w:val="32"/>
        <w:spacing w:line="560" w:lineRule="exact"/>
        <w:ind w:firstLine="31680"/>
        <w:jc w:val="left"/>
        <w:rPr>
          <w:rStyle w:val="43"/>
          <w:rFonts w:ascii="宋体" w:hAnsi="Calibri" w:eastAsia="宋体" w:cs="宋体"/>
          <w:color w:val="auto"/>
          <w:sz w:val="28"/>
          <w:szCs w:val="28"/>
          <w:highlight w:val="none"/>
        </w:rPr>
      </w:pPr>
      <w:r>
        <w:rPr>
          <w:rStyle w:val="43"/>
          <w:rFonts w:ascii="宋体" w:hAnsi="宋体" w:eastAsia="宋体" w:cs="宋体"/>
          <w:color w:val="auto"/>
          <w:sz w:val="28"/>
          <w:szCs w:val="28"/>
          <w:highlight w:val="none"/>
        </w:rPr>
        <w:t>4</w:t>
      </w:r>
      <w:r>
        <w:rPr>
          <w:rStyle w:val="43"/>
          <w:rFonts w:hint="eastAsia" w:ascii="宋体" w:hAnsi="宋体" w:eastAsia="宋体" w:cs="宋体"/>
          <w:color w:val="auto"/>
          <w:sz w:val="28"/>
          <w:szCs w:val="28"/>
          <w:highlight w:val="none"/>
        </w:rPr>
        <w:t>）《江苏省建设工程费用定额》苏建价（</w:t>
      </w:r>
      <w:r>
        <w:rPr>
          <w:rStyle w:val="43"/>
          <w:rFonts w:ascii="宋体" w:hAnsi="宋体" w:eastAsia="宋体" w:cs="宋体"/>
          <w:color w:val="auto"/>
          <w:sz w:val="28"/>
          <w:szCs w:val="28"/>
          <w:highlight w:val="none"/>
        </w:rPr>
        <w:t>2014</w:t>
      </w:r>
      <w:r>
        <w:rPr>
          <w:rStyle w:val="43"/>
          <w:rFonts w:hint="eastAsia" w:ascii="宋体" w:hAnsi="宋体" w:eastAsia="宋体" w:cs="宋体"/>
          <w:color w:val="auto"/>
          <w:sz w:val="28"/>
          <w:szCs w:val="28"/>
          <w:highlight w:val="none"/>
        </w:rPr>
        <w:t>）</w:t>
      </w:r>
      <w:r>
        <w:rPr>
          <w:rStyle w:val="43"/>
          <w:rFonts w:ascii="宋体" w:hAnsi="宋体" w:eastAsia="宋体" w:cs="宋体"/>
          <w:color w:val="auto"/>
          <w:sz w:val="28"/>
          <w:szCs w:val="28"/>
          <w:highlight w:val="none"/>
        </w:rPr>
        <w:t>299</w:t>
      </w:r>
      <w:r>
        <w:rPr>
          <w:rStyle w:val="43"/>
          <w:rFonts w:hint="eastAsia" w:ascii="宋体" w:hAnsi="宋体" w:eastAsia="宋体" w:cs="宋体"/>
          <w:color w:val="auto"/>
          <w:sz w:val="28"/>
          <w:szCs w:val="28"/>
          <w:highlight w:val="none"/>
        </w:rPr>
        <w:t>号以及镇江市有关文件。</w:t>
      </w:r>
    </w:p>
    <w:p>
      <w:pPr>
        <w:pStyle w:val="32"/>
        <w:spacing w:line="560" w:lineRule="exact"/>
        <w:ind w:firstLine="31680"/>
        <w:jc w:val="left"/>
        <w:rPr>
          <w:rStyle w:val="43"/>
          <w:rFonts w:ascii="宋体" w:hAnsi="Calibri" w:eastAsia="宋体" w:cs="宋体"/>
          <w:color w:val="auto"/>
          <w:sz w:val="28"/>
          <w:szCs w:val="28"/>
          <w:highlight w:val="none"/>
        </w:rPr>
      </w:pPr>
      <w:r>
        <w:rPr>
          <w:rStyle w:val="43"/>
          <w:rFonts w:ascii="宋体" w:hAnsi="宋体" w:eastAsia="宋体" w:cs="宋体"/>
          <w:color w:val="auto"/>
          <w:sz w:val="28"/>
          <w:szCs w:val="28"/>
          <w:highlight w:val="none"/>
        </w:rPr>
        <w:t>5</w:t>
      </w:r>
      <w:r>
        <w:rPr>
          <w:rStyle w:val="43"/>
          <w:rFonts w:hint="eastAsia" w:ascii="宋体" w:hAnsi="宋体" w:eastAsia="宋体" w:cs="宋体"/>
          <w:color w:val="auto"/>
          <w:sz w:val="28"/>
          <w:szCs w:val="28"/>
          <w:highlight w:val="none"/>
        </w:rPr>
        <w:t>）引进设备、材料的价格</w:t>
      </w:r>
      <w:r>
        <w:rPr>
          <w:rStyle w:val="43"/>
          <w:rFonts w:ascii="宋体" w:hAnsi="宋体" w:eastAsia="宋体" w:cs="宋体"/>
          <w:color w:val="auto"/>
          <w:sz w:val="28"/>
          <w:szCs w:val="28"/>
          <w:highlight w:val="none"/>
        </w:rPr>
        <w:t>,</w:t>
      </w:r>
      <w:r>
        <w:rPr>
          <w:rStyle w:val="43"/>
          <w:rFonts w:hint="eastAsia" w:ascii="宋体" w:hAnsi="宋体" w:eastAsia="宋体" w:cs="宋体"/>
          <w:color w:val="auto"/>
          <w:sz w:val="28"/>
          <w:szCs w:val="28"/>
          <w:highlight w:val="none"/>
        </w:rPr>
        <w:t>据初步询价后的报价资料。</w:t>
      </w:r>
    </w:p>
    <w:p>
      <w:pPr>
        <w:pStyle w:val="32"/>
        <w:spacing w:line="560" w:lineRule="exact"/>
        <w:ind w:firstLine="31680"/>
        <w:jc w:val="left"/>
        <w:rPr>
          <w:rStyle w:val="43"/>
          <w:rFonts w:ascii="宋体" w:hAnsi="Calibri" w:eastAsia="宋体" w:cs="宋体"/>
          <w:color w:val="auto"/>
          <w:sz w:val="28"/>
          <w:szCs w:val="28"/>
          <w:highlight w:val="none"/>
        </w:rPr>
      </w:pPr>
      <w:r>
        <w:rPr>
          <w:rStyle w:val="43"/>
          <w:rFonts w:ascii="宋体" w:hAnsi="宋体" w:eastAsia="宋体" w:cs="宋体"/>
          <w:color w:val="auto"/>
          <w:sz w:val="28"/>
          <w:szCs w:val="28"/>
          <w:highlight w:val="none"/>
        </w:rPr>
        <w:t>6</w:t>
      </w:r>
      <w:r>
        <w:rPr>
          <w:rStyle w:val="43"/>
          <w:rFonts w:hint="eastAsia" w:ascii="宋体" w:hAnsi="宋体" w:eastAsia="宋体" w:cs="宋体"/>
          <w:color w:val="auto"/>
          <w:sz w:val="28"/>
          <w:szCs w:val="28"/>
          <w:highlight w:val="none"/>
        </w:rPr>
        <w:t>）引进设备、材料的贸易从属费依据《化工引进项目建设投资估算编制》规定计算。</w:t>
      </w:r>
    </w:p>
    <w:p>
      <w:pPr>
        <w:pStyle w:val="32"/>
        <w:spacing w:line="560" w:lineRule="exact"/>
        <w:ind w:firstLine="31680"/>
        <w:jc w:val="left"/>
        <w:rPr>
          <w:rStyle w:val="43"/>
          <w:rFonts w:ascii="宋体" w:hAnsi="Calibri" w:eastAsia="宋体" w:cs="宋体"/>
          <w:color w:val="auto"/>
          <w:sz w:val="28"/>
          <w:szCs w:val="28"/>
          <w:highlight w:val="none"/>
        </w:rPr>
      </w:pPr>
      <w:r>
        <w:rPr>
          <w:rStyle w:val="43"/>
          <w:rFonts w:ascii="宋体" w:hAnsi="宋体" w:eastAsia="宋体" w:cs="宋体"/>
          <w:color w:val="auto"/>
          <w:sz w:val="28"/>
          <w:szCs w:val="28"/>
          <w:highlight w:val="none"/>
        </w:rPr>
        <w:t>7</w:t>
      </w:r>
      <w:r>
        <w:rPr>
          <w:rStyle w:val="43"/>
          <w:rFonts w:hint="eastAsia" w:ascii="宋体" w:hAnsi="宋体" w:eastAsia="宋体" w:cs="宋体"/>
          <w:color w:val="auto"/>
          <w:sz w:val="28"/>
          <w:szCs w:val="28"/>
          <w:highlight w:val="none"/>
        </w:rPr>
        <w:t>）其他专项费用都依据《化工建设项目可行性研究投资估算编制办法》规定计算。</w:t>
      </w:r>
    </w:p>
    <w:p>
      <w:pPr>
        <w:pStyle w:val="32"/>
        <w:spacing w:line="560" w:lineRule="exact"/>
        <w:ind w:firstLine="31680"/>
        <w:jc w:val="left"/>
        <w:rPr>
          <w:rStyle w:val="43"/>
          <w:rFonts w:ascii="宋体" w:hAnsi="Calibri" w:eastAsia="宋体" w:cs="宋体"/>
          <w:color w:val="auto"/>
          <w:sz w:val="28"/>
          <w:szCs w:val="28"/>
          <w:highlight w:val="none"/>
        </w:rPr>
      </w:pPr>
      <w:r>
        <w:rPr>
          <w:rStyle w:val="43"/>
          <w:rFonts w:ascii="宋体" w:hAnsi="宋体" w:eastAsia="宋体" w:cs="宋体"/>
          <w:color w:val="auto"/>
          <w:sz w:val="28"/>
          <w:szCs w:val="28"/>
          <w:highlight w:val="none"/>
        </w:rPr>
        <w:t>8</w:t>
      </w:r>
      <w:r>
        <w:rPr>
          <w:rStyle w:val="43"/>
          <w:rFonts w:hint="eastAsia" w:ascii="宋体" w:hAnsi="宋体" w:eastAsia="宋体" w:cs="宋体"/>
          <w:color w:val="auto"/>
          <w:sz w:val="28"/>
          <w:szCs w:val="28"/>
          <w:highlight w:val="none"/>
        </w:rPr>
        <w:t>）</w:t>
      </w:r>
      <w:r>
        <w:rPr>
          <w:rFonts w:hint="eastAsia" w:ascii="宋体" w:hAnsi="宋体" w:cs="宋体"/>
          <w:bCs/>
          <w:color w:val="auto"/>
          <w:kern w:val="0"/>
          <w:sz w:val="28"/>
          <w:szCs w:val="28"/>
          <w:highlight w:val="none"/>
        </w:rPr>
        <w:t>江苏索普新材料科技有限公司</w:t>
      </w:r>
      <w:r>
        <w:rPr>
          <w:rStyle w:val="43"/>
          <w:rFonts w:hint="eastAsia" w:ascii="宋体" w:hAnsi="宋体" w:eastAsia="宋体" w:cs="宋体"/>
          <w:color w:val="auto"/>
          <w:sz w:val="28"/>
          <w:szCs w:val="28"/>
          <w:highlight w:val="none"/>
        </w:rPr>
        <w:t>提供的估算资料。</w:t>
      </w:r>
    </w:p>
    <w:p>
      <w:pPr>
        <w:pStyle w:val="32"/>
        <w:spacing w:line="560" w:lineRule="exact"/>
        <w:ind w:firstLine="31680"/>
        <w:jc w:val="left"/>
        <w:outlineLvl w:val="1"/>
        <w:rPr>
          <w:rFonts w:ascii="宋体" w:cs="宋体"/>
          <w:color w:val="auto"/>
          <w:sz w:val="28"/>
          <w:szCs w:val="28"/>
          <w:highlight w:val="none"/>
        </w:rPr>
      </w:pPr>
      <w:bookmarkStart w:id="1344" w:name="_Toc29426"/>
      <w:bookmarkStart w:id="1345" w:name="_Toc19552_WPSOffice_Level2"/>
      <w:bookmarkStart w:id="1346" w:name="_Toc31744"/>
      <w:bookmarkStart w:id="1347" w:name="_Toc29900_WPSOffice_Level2"/>
      <w:bookmarkStart w:id="1348" w:name="_Toc12032"/>
      <w:bookmarkStart w:id="1349" w:name="_Toc20498"/>
      <w:bookmarkStart w:id="1350" w:name="_Toc23130_WPSOffice_Level2"/>
      <w:bookmarkStart w:id="1351" w:name="_Toc4977_WPSOffice_Level2"/>
      <w:r>
        <w:rPr>
          <w:rFonts w:ascii="宋体" w:hAnsi="宋体" w:cs="宋体"/>
          <w:color w:val="auto"/>
          <w:sz w:val="28"/>
          <w:szCs w:val="28"/>
          <w:highlight w:val="none"/>
        </w:rPr>
        <w:t>15.3</w:t>
      </w:r>
      <w:r>
        <w:rPr>
          <w:rFonts w:hint="eastAsia" w:ascii="宋体" w:hAnsi="宋体" w:cs="宋体"/>
          <w:color w:val="auto"/>
          <w:sz w:val="28"/>
          <w:szCs w:val="28"/>
          <w:highlight w:val="none"/>
        </w:rPr>
        <w:t>投资估算分析</w:t>
      </w:r>
      <w:bookmarkEnd w:id="1344"/>
      <w:bookmarkEnd w:id="1345"/>
      <w:bookmarkEnd w:id="1346"/>
      <w:bookmarkEnd w:id="1347"/>
      <w:bookmarkEnd w:id="1348"/>
      <w:bookmarkEnd w:id="1349"/>
      <w:bookmarkEnd w:id="1350"/>
      <w:bookmarkEnd w:id="1351"/>
    </w:p>
    <w:p>
      <w:pPr>
        <w:pStyle w:val="9"/>
        <w:spacing w:line="480" w:lineRule="exact"/>
        <w:jc w:val="center"/>
        <w:rPr>
          <w:rFonts w:hAnsi="宋体"/>
          <w:color w:val="auto"/>
          <w:sz w:val="24"/>
          <w:szCs w:val="24"/>
          <w:highlight w:val="none"/>
        </w:rPr>
      </w:pPr>
      <w:r>
        <w:rPr>
          <w:rFonts w:hint="eastAsia" w:hAnsi="宋体"/>
          <w:color w:val="auto"/>
          <w:sz w:val="24"/>
          <w:szCs w:val="24"/>
          <w:highlight w:val="none"/>
        </w:rPr>
        <w:t>表</w:t>
      </w:r>
      <w:r>
        <w:rPr>
          <w:rFonts w:hAnsi="宋体"/>
          <w:color w:val="auto"/>
          <w:sz w:val="24"/>
          <w:szCs w:val="24"/>
          <w:highlight w:val="none"/>
        </w:rPr>
        <w:t xml:space="preserve">15-1 </w:t>
      </w:r>
      <w:r>
        <w:rPr>
          <w:rFonts w:hint="eastAsia" w:hAnsi="宋体"/>
          <w:color w:val="auto"/>
          <w:sz w:val="24"/>
          <w:szCs w:val="24"/>
          <w:highlight w:val="none"/>
        </w:rPr>
        <w:t>项目投资情况</w:t>
      </w:r>
    </w:p>
    <w:tbl>
      <w:tblPr>
        <w:tblStyle w:val="1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05"/>
        <w:gridCol w:w="4325"/>
        <w:gridCol w:w="29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7" w:type="pct"/>
            <w:vAlign w:val="center"/>
          </w:tcPr>
          <w:p>
            <w:pPr>
              <w:spacing w:line="300" w:lineRule="exact"/>
              <w:jc w:val="center"/>
              <w:rPr>
                <w:b/>
                <w:color w:val="auto"/>
                <w:szCs w:val="21"/>
                <w:highlight w:val="none"/>
              </w:rPr>
            </w:pPr>
            <w:r>
              <w:rPr>
                <w:rFonts w:hint="eastAsia"/>
                <w:b/>
                <w:color w:val="auto"/>
                <w:szCs w:val="21"/>
                <w:highlight w:val="none"/>
              </w:rPr>
              <w:t>序号</w:t>
            </w:r>
          </w:p>
        </w:tc>
        <w:tc>
          <w:tcPr>
            <w:tcW w:w="2538" w:type="pct"/>
            <w:vAlign w:val="center"/>
          </w:tcPr>
          <w:p>
            <w:pPr>
              <w:spacing w:line="300" w:lineRule="exact"/>
              <w:jc w:val="center"/>
              <w:rPr>
                <w:b/>
                <w:color w:val="auto"/>
                <w:szCs w:val="21"/>
                <w:highlight w:val="none"/>
              </w:rPr>
            </w:pPr>
            <w:r>
              <w:rPr>
                <w:rFonts w:hint="eastAsia"/>
                <w:b/>
                <w:color w:val="auto"/>
                <w:szCs w:val="21"/>
                <w:highlight w:val="none"/>
              </w:rPr>
              <w:t>项目名称</w:t>
            </w:r>
          </w:p>
        </w:tc>
        <w:tc>
          <w:tcPr>
            <w:tcW w:w="1754" w:type="pct"/>
            <w:vAlign w:val="center"/>
          </w:tcPr>
          <w:p>
            <w:pPr>
              <w:spacing w:line="300" w:lineRule="exact"/>
              <w:jc w:val="center"/>
              <w:rPr>
                <w:b/>
                <w:color w:val="auto"/>
                <w:szCs w:val="21"/>
                <w:highlight w:val="none"/>
              </w:rPr>
            </w:pPr>
            <w:r>
              <w:rPr>
                <w:rFonts w:hint="eastAsia"/>
                <w:b/>
                <w:color w:val="auto"/>
                <w:szCs w:val="21"/>
                <w:highlight w:val="none"/>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7" w:type="pct"/>
            <w:vAlign w:val="center"/>
          </w:tcPr>
          <w:p>
            <w:pPr>
              <w:spacing w:line="300" w:lineRule="exact"/>
              <w:rPr>
                <w:color w:val="auto"/>
                <w:szCs w:val="21"/>
                <w:highlight w:val="none"/>
              </w:rPr>
            </w:pPr>
            <w:r>
              <w:rPr>
                <w:color w:val="auto"/>
                <w:szCs w:val="21"/>
                <w:highlight w:val="none"/>
              </w:rPr>
              <w:t>1</w:t>
            </w:r>
          </w:p>
        </w:tc>
        <w:tc>
          <w:tcPr>
            <w:tcW w:w="2538" w:type="pct"/>
            <w:vAlign w:val="center"/>
          </w:tcPr>
          <w:p>
            <w:pPr>
              <w:spacing w:line="300" w:lineRule="exact"/>
              <w:rPr>
                <w:color w:val="auto"/>
                <w:szCs w:val="21"/>
                <w:highlight w:val="none"/>
              </w:rPr>
            </w:pPr>
            <w:r>
              <w:rPr>
                <w:rFonts w:hint="eastAsia"/>
                <w:color w:val="auto"/>
                <w:szCs w:val="21"/>
                <w:highlight w:val="none"/>
              </w:rPr>
              <w:t>项目总投资</w:t>
            </w:r>
          </w:p>
        </w:tc>
        <w:tc>
          <w:tcPr>
            <w:tcW w:w="1754" w:type="pct"/>
            <w:vAlign w:val="center"/>
          </w:tcPr>
          <w:p>
            <w:pPr>
              <w:spacing w:line="300" w:lineRule="exact"/>
              <w:jc w:val="right"/>
              <w:rPr>
                <w:color w:val="auto"/>
                <w:szCs w:val="21"/>
                <w:highlight w:val="none"/>
              </w:rPr>
            </w:pPr>
            <w:r>
              <w:rPr>
                <w:color w:val="auto"/>
                <w:szCs w:val="21"/>
                <w:highlight w:val="none"/>
              </w:rPr>
              <w:t>450.00</w:t>
            </w:r>
            <w:r>
              <w:rPr>
                <w:rFonts w:hint="eastAsia"/>
                <w:color w:val="auto"/>
                <w:szCs w:val="21"/>
                <w:highlight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7" w:type="pct"/>
            <w:vAlign w:val="center"/>
          </w:tcPr>
          <w:p>
            <w:pPr>
              <w:spacing w:line="300" w:lineRule="exact"/>
              <w:rPr>
                <w:color w:val="auto"/>
                <w:szCs w:val="21"/>
                <w:highlight w:val="none"/>
              </w:rPr>
            </w:pPr>
          </w:p>
        </w:tc>
        <w:tc>
          <w:tcPr>
            <w:tcW w:w="2538" w:type="pct"/>
            <w:vAlign w:val="center"/>
          </w:tcPr>
          <w:p>
            <w:pPr>
              <w:spacing w:line="300" w:lineRule="exact"/>
              <w:rPr>
                <w:color w:val="auto"/>
                <w:szCs w:val="21"/>
                <w:highlight w:val="none"/>
              </w:rPr>
            </w:pPr>
            <w:r>
              <w:rPr>
                <w:rFonts w:hint="eastAsia"/>
                <w:color w:val="auto"/>
                <w:szCs w:val="21"/>
                <w:highlight w:val="none"/>
              </w:rPr>
              <w:t>建设投资</w:t>
            </w:r>
          </w:p>
        </w:tc>
        <w:tc>
          <w:tcPr>
            <w:tcW w:w="1754" w:type="pct"/>
            <w:vAlign w:val="center"/>
          </w:tcPr>
          <w:p>
            <w:pPr>
              <w:spacing w:line="300" w:lineRule="exact"/>
              <w:jc w:val="right"/>
              <w:rPr>
                <w:color w:val="auto"/>
                <w:szCs w:val="21"/>
                <w:highlight w:val="none"/>
              </w:rPr>
            </w:pPr>
            <w:r>
              <w:rPr>
                <w:color w:val="auto"/>
                <w:szCs w:val="21"/>
                <w:highlight w:val="none"/>
              </w:rPr>
              <w:t>450.00</w:t>
            </w:r>
            <w:r>
              <w:rPr>
                <w:rFonts w:hint="eastAsia"/>
                <w:color w:val="auto"/>
                <w:szCs w:val="21"/>
                <w:highlight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7" w:type="pct"/>
            <w:vAlign w:val="center"/>
          </w:tcPr>
          <w:p>
            <w:pPr>
              <w:spacing w:line="300" w:lineRule="exact"/>
              <w:rPr>
                <w:color w:val="auto"/>
                <w:szCs w:val="21"/>
                <w:highlight w:val="none"/>
              </w:rPr>
            </w:pPr>
          </w:p>
        </w:tc>
        <w:tc>
          <w:tcPr>
            <w:tcW w:w="2538" w:type="pct"/>
            <w:vAlign w:val="center"/>
          </w:tcPr>
          <w:p>
            <w:pPr>
              <w:spacing w:line="300" w:lineRule="exact"/>
              <w:rPr>
                <w:color w:val="auto"/>
                <w:szCs w:val="21"/>
                <w:highlight w:val="none"/>
              </w:rPr>
            </w:pPr>
            <w:r>
              <w:rPr>
                <w:rFonts w:hint="eastAsia"/>
                <w:color w:val="auto"/>
                <w:szCs w:val="21"/>
                <w:highlight w:val="none"/>
              </w:rPr>
              <w:t>其中：工程费用</w:t>
            </w:r>
          </w:p>
        </w:tc>
        <w:tc>
          <w:tcPr>
            <w:tcW w:w="1754" w:type="pct"/>
            <w:vAlign w:val="center"/>
          </w:tcPr>
          <w:p>
            <w:pPr>
              <w:spacing w:line="300" w:lineRule="exact"/>
              <w:jc w:val="right"/>
              <w:rPr>
                <w:color w:val="auto"/>
                <w:szCs w:val="21"/>
                <w:highlight w:val="none"/>
              </w:rPr>
            </w:pPr>
            <w:r>
              <w:rPr>
                <w:color w:val="auto"/>
                <w:szCs w:val="21"/>
                <w:highlight w:val="none"/>
              </w:rPr>
              <w:t>400.00</w:t>
            </w:r>
            <w:r>
              <w:rPr>
                <w:rFonts w:hint="eastAsia"/>
                <w:color w:val="auto"/>
                <w:szCs w:val="21"/>
                <w:highlight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7" w:type="pct"/>
            <w:vAlign w:val="center"/>
          </w:tcPr>
          <w:p>
            <w:pPr>
              <w:spacing w:line="300" w:lineRule="exact"/>
              <w:rPr>
                <w:color w:val="auto"/>
                <w:szCs w:val="21"/>
                <w:highlight w:val="none"/>
              </w:rPr>
            </w:pPr>
            <w:r>
              <w:rPr>
                <w:color w:val="auto"/>
                <w:szCs w:val="21"/>
                <w:highlight w:val="none"/>
              </w:rPr>
              <w:t>2</w:t>
            </w:r>
          </w:p>
        </w:tc>
        <w:tc>
          <w:tcPr>
            <w:tcW w:w="2538" w:type="pct"/>
            <w:vAlign w:val="center"/>
          </w:tcPr>
          <w:p>
            <w:pPr>
              <w:spacing w:line="300" w:lineRule="exact"/>
              <w:ind w:right="480"/>
              <w:rPr>
                <w:color w:val="auto"/>
                <w:szCs w:val="21"/>
                <w:highlight w:val="none"/>
              </w:rPr>
            </w:pPr>
            <w:r>
              <w:rPr>
                <w:rFonts w:hint="eastAsia"/>
                <w:color w:val="auto"/>
                <w:szCs w:val="21"/>
                <w:highlight w:val="none"/>
              </w:rPr>
              <w:t>资金筹措</w:t>
            </w:r>
          </w:p>
        </w:tc>
        <w:tc>
          <w:tcPr>
            <w:tcW w:w="1754" w:type="pct"/>
            <w:vAlign w:val="center"/>
          </w:tcPr>
          <w:p>
            <w:pPr>
              <w:spacing w:line="300" w:lineRule="exact"/>
              <w:jc w:val="right"/>
              <w:rPr>
                <w:color w:val="auto"/>
                <w:szCs w:val="21"/>
                <w:highlight w:val="none"/>
              </w:rPr>
            </w:pPr>
            <w:r>
              <w:rPr>
                <w:color w:val="auto"/>
                <w:szCs w:val="21"/>
                <w:highlight w:val="none"/>
              </w:rPr>
              <w:t>450.00</w:t>
            </w:r>
            <w:r>
              <w:rPr>
                <w:rFonts w:hint="eastAsia"/>
                <w:color w:val="auto"/>
                <w:szCs w:val="21"/>
                <w:highlight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7" w:type="pct"/>
            <w:vAlign w:val="center"/>
          </w:tcPr>
          <w:p>
            <w:pPr>
              <w:spacing w:line="300" w:lineRule="exact"/>
              <w:rPr>
                <w:color w:val="auto"/>
                <w:szCs w:val="21"/>
                <w:highlight w:val="none"/>
              </w:rPr>
            </w:pPr>
          </w:p>
        </w:tc>
        <w:tc>
          <w:tcPr>
            <w:tcW w:w="2538" w:type="pct"/>
            <w:vAlign w:val="center"/>
          </w:tcPr>
          <w:p>
            <w:pPr>
              <w:spacing w:line="300" w:lineRule="exact"/>
              <w:ind w:right="315"/>
              <w:rPr>
                <w:color w:val="auto"/>
                <w:szCs w:val="21"/>
                <w:highlight w:val="none"/>
              </w:rPr>
            </w:pPr>
            <w:r>
              <w:rPr>
                <w:rFonts w:hint="eastAsia"/>
                <w:color w:val="auto"/>
                <w:szCs w:val="21"/>
                <w:highlight w:val="none"/>
              </w:rPr>
              <w:t>其中：项目资本金</w:t>
            </w:r>
          </w:p>
        </w:tc>
        <w:tc>
          <w:tcPr>
            <w:tcW w:w="1754" w:type="pct"/>
            <w:vAlign w:val="center"/>
          </w:tcPr>
          <w:p>
            <w:pPr>
              <w:spacing w:line="300" w:lineRule="exact"/>
              <w:jc w:val="right"/>
              <w:rPr>
                <w:color w:val="auto"/>
                <w:szCs w:val="21"/>
                <w:highlight w:val="none"/>
              </w:rPr>
            </w:pPr>
            <w:r>
              <w:rPr>
                <w:color w:val="auto"/>
                <w:szCs w:val="21"/>
                <w:highlight w:val="none"/>
              </w:rPr>
              <w:t>450.00</w:t>
            </w:r>
            <w:r>
              <w:rPr>
                <w:rFonts w:hint="eastAsia"/>
                <w:color w:val="auto"/>
                <w:szCs w:val="21"/>
                <w:highlight w:val="none"/>
              </w:rPr>
              <w:t>万元</w:t>
            </w:r>
          </w:p>
        </w:tc>
      </w:tr>
    </w:tbl>
    <w:p>
      <w:pPr>
        <w:pStyle w:val="32"/>
        <w:spacing w:line="560" w:lineRule="exact"/>
        <w:ind w:firstLine="31680"/>
        <w:jc w:val="left"/>
        <w:rPr>
          <w:rStyle w:val="43"/>
          <w:rFonts w:ascii="宋体" w:hAnsi="Calibri" w:eastAsia="宋体" w:cs="宋体"/>
          <w:color w:val="auto"/>
          <w:sz w:val="28"/>
          <w:szCs w:val="28"/>
          <w:highlight w:val="none"/>
        </w:rPr>
      </w:pPr>
      <w:r>
        <w:rPr>
          <w:rStyle w:val="43"/>
          <w:rFonts w:hint="eastAsia" w:ascii="宋体" w:hAnsi="宋体" w:eastAsia="宋体" w:cs="宋体"/>
          <w:color w:val="auto"/>
          <w:sz w:val="28"/>
          <w:szCs w:val="28"/>
          <w:highlight w:val="none"/>
        </w:rPr>
        <w:t>本项目固定资产方向调节税为零。</w:t>
      </w:r>
    </w:p>
    <w:p>
      <w:pPr>
        <w:pStyle w:val="32"/>
        <w:spacing w:line="560" w:lineRule="exact"/>
        <w:ind w:firstLine="31680"/>
        <w:jc w:val="left"/>
        <w:rPr>
          <w:rStyle w:val="43"/>
          <w:rFonts w:ascii="宋体" w:hAnsi="Calibri" w:eastAsia="宋体" w:cs="宋体"/>
          <w:color w:val="auto"/>
          <w:sz w:val="28"/>
          <w:szCs w:val="28"/>
          <w:highlight w:val="none"/>
        </w:rPr>
      </w:pPr>
      <w:r>
        <w:rPr>
          <w:rStyle w:val="43"/>
          <w:rFonts w:hint="eastAsia" w:ascii="宋体" w:hAnsi="宋体" w:eastAsia="宋体" w:cs="宋体"/>
          <w:color w:val="auto"/>
          <w:sz w:val="28"/>
          <w:szCs w:val="28"/>
          <w:highlight w:val="none"/>
        </w:rPr>
        <w:t>本项目建设投资</w:t>
      </w:r>
      <w:r>
        <w:rPr>
          <w:rStyle w:val="43"/>
          <w:rFonts w:ascii="宋体" w:hAnsi="宋体" w:eastAsia="宋体" w:cs="宋体"/>
          <w:color w:val="auto"/>
          <w:sz w:val="28"/>
          <w:szCs w:val="28"/>
          <w:highlight w:val="none"/>
        </w:rPr>
        <w:t>100%</w:t>
      </w:r>
      <w:r>
        <w:rPr>
          <w:rStyle w:val="43"/>
          <w:rFonts w:hint="eastAsia" w:ascii="宋体" w:hAnsi="宋体" w:eastAsia="宋体" w:cs="宋体"/>
          <w:color w:val="auto"/>
          <w:sz w:val="28"/>
          <w:szCs w:val="28"/>
          <w:highlight w:val="none"/>
        </w:rPr>
        <w:t>自筹。详见建设投资估算表。</w:t>
      </w:r>
    </w:p>
    <w:p>
      <w:pPr>
        <w:pStyle w:val="32"/>
        <w:spacing w:line="560" w:lineRule="exact"/>
        <w:ind w:firstLine="31680"/>
        <w:jc w:val="left"/>
        <w:outlineLvl w:val="1"/>
        <w:rPr>
          <w:rStyle w:val="43"/>
          <w:rFonts w:ascii="宋体" w:hAnsi="Calibri" w:eastAsia="宋体" w:cs="宋体"/>
          <w:color w:val="auto"/>
          <w:sz w:val="28"/>
          <w:szCs w:val="28"/>
          <w:highlight w:val="none"/>
        </w:rPr>
      </w:pPr>
      <w:bookmarkStart w:id="1352" w:name="_Toc1091"/>
      <w:bookmarkStart w:id="1353" w:name="_Toc22416"/>
      <w:bookmarkStart w:id="1354" w:name="_Toc5775"/>
      <w:bookmarkStart w:id="1355" w:name="_Toc29222"/>
      <w:bookmarkStart w:id="1356" w:name="_Toc15683_WPSOffice_Level2"/>
      <w:bookmarkStart w:id="1357" w:name="_Toc22309"/>
      <w:bookmarkStart w:id="1358" w:name="_Toc28399_WPSOffice_Level2"/>
      <w:bookmarkStart w:id="1359" w:name="_Toc6312_WPSOffice_Level2"/>
      <w:bookmarkStart w:id="1360" w:name="_Toc26737"/>
      <w:bookmarkStart w:id="1361" w:name="_Toc24561_WPSOffice_Level2"/>
      <w:r>
        <w:rPr>
          <w:rStyle w:val="43"/>
          <w:rFonts w:ascii="宋体" w:hAnsi="宋体" w:eastAsia="宋体" w:cs="宋体"/>
          <w:color w:val="auto"/>
          <w:sz w:val="28"/>
          <w:szCs w:val="28"/>
          <w:highlight w:val="none"/>
        </w:rPr>
        <w:t>15.4</w:t>
      </w:r>
      <w:r>
        <w:rPr>
          <w:rStyle w:val="43"/>
          <w:rFonts w:hint="eastAsia" w:ascii="宋体" w:hAnsi="宋体" w:eastAsia="宋体" w:cs="宋体"/>
          <w:color w:val="auto"/>
          <w:sz w:val="28"/>
          <w:szCs w:val="28"/>
          <w:highlight w:val="none"/>
        </w:rPr>
        <w:t>资金筹措</w:t>
      </w:r>
      <w:bookmarkEnd w:id="1352"/>
      <w:bookmarkEnd w:id="1353"/>
      <w:bookmarkEnd w:id="1354"/>
      <w:bookmarkEnd w:id="1355"/>
      <w:bookmarkEnd w:id="1356"/>
      <w:bookmarkEnd w:id="1357"/>
      <w:bookmarkEnd w:id="1358"/>
      <w:bookmarkEnd w:id="1359"/>
      <w:bookmarkEnd w:id="1360"/>
      <w:bookmarkEnd w:id="1361"/>
    </w:p>
    <w:p>
      <w:pPr>
        <w:pStyle w:val="32"/>
        <w:spacing w:line="560" w:lineRule="exact"/>
        <w:ind w:firstLine="31680"/>
        <w:jc w:val="left"/>
        <w:rPr>
          <w:rStyle w:val="43"/>
          <w:rFonts w:ascii="宋体" w:hAnsi="Calibri" w:eastAsia="宋体" w:cs="宋体"/>
          <w:color w:val="auto"/>
          <w:sz w:val="28"/>
          <w:szCs w:val="28"/>
          <w:highlight w:val="none"/>
        </w:rPr>
      </w:pPr>
      <w:r>
        <w:rPr>
          <w:rStyle w:val="43"/>
          <w:rFonts w:hint="eastAsia" w:ascii="宋体" w:hAnsi="宋体" w:eastAsia="宋体" w:cs="宋体"/>
          <w:color w:val="auto"/>
          <w:sz w:val="28"/>
          <w:szCs w:val="28"/>
          <w:highlight w:val="none"/>
        </w:rPr>
        <w:t>项目资金筹措共计</w:t>
      </w:r>
      <w:r>
        <w:rPr>
          <w:rStyle w:val="43"/>
          <w:rFonts w:ascii="宋体" w:hAnsi="宋体" w:eastAsia="宋体" w:cs="宋体"/>
          <w:color w:val="auto"/>
          <w:sz w:val="28"/>
          <w:szCs w:val="28"/>
          <w:highlight w:val="none"/>
        </w:rPr>
        <w:t>450.00</w:t>
      </w:r>
      <w:r>
        <w:rPr>
          <w:rStyle w:val="43"/>
          <w:rFonts w:hint="eastAsia" w:ascii="宋体" w:hAnsi="宋体" w:eastAsia="宋体" w:cs="宋体"/>
          <w:color w:val="auto"/>
          <w:sz w:val="28"/>
          <w:szCs w:val="28"/>
          <w:highlight w:val="none"/>
        </w:rPr>
        <w:t>万元，项目资本金</w:t>
      </w:r>
      <w:r>
        <w:rPr>
          <w:rStyle w:val="43"/>
          <w:rFonts w:ascii="宋体" w:hAnsi="宋体" w:eastAsia="宋体" w:cs="宋体"/>
          <w:color w:val="auto"/>
          <w:sz w:val="28"/>
          <w:szCs w:val="28"/>
          <w:highlight w:val="none"/>
        </w:rPr>
        <w:t>450.00</w:t>
      </w:r>
      <w:r>
        <w:rPr>
          <w:rStyle w:val="43"/>
          <w:rFonts w:hint="eastAsia" w:ascii="宋体" w:hAnsi="宋体" w:eastAsia="宋体" w:cs="宋体"/>
          <w:color w:val="auto"/>
          <w:sz w:val="28"/>
          <w:szCs w:val="28"/>
          <w:highlight w:val="none"/>
        </w:rPr>
        <w:t>万元。</w:t>
      </w:r>
    </w:p>
    <w:p>
      <w:pPr>
        <w:spacing w:line="560" w:lineRule="exact"/>
        <w:ind w:firstLine="560" w:firstLineChars="200"/>
        <w:rPr>
          <w:rFonts w:ascii="宋体" w:cs="宋体"/>
          <w:bCs/>
          <w:color w:val="auto"/>
          <w:sz w:val="28"/>
          <w:szCs w:val="28"/>
          <w:highlight w:val="none"/>
        </w:rPr>
      </w:pPr>
    </w:p>
    <w:p>
      <w:pPr>
        <w:pStyle w:val="10"/>
        <w:ind w:firstLine="31680"/>
        <w:rPr>
          <w:color w:val="auto"/>
          <w:highlight w:val="none"/>
        </w:rPr>
      </w:pPr>
    </w:p>
    <w:p>
      <w:pPr>
        <w:pStyle w:val="10"/>
        <w:ind w:firstLine="31680"/>
        <w:rPr>
          <w:color w:val="auto"/>
          <w:highlight w:val="none"/>
        </w:rPr>
        <w:sectPr>
          <w:pgSz w:w="11906" w:h="16838"/>
          <w:pgMar w:top="1440" w:right="1800" w:bottom="1440" w:left="1800" w:header="851" w:footer="992" w:gutter="0"/>
          <w:cols w:space="425" w:num="1"/>
          <w:docGrid w:type="lines" w:linePitch="312" w:charSpace="0"/>
        </w:sectPr>
      </w:pPr>
    </w:p>
    <w:p>
      <w:pPr>
        <w:pStyle w:val="45"/>
        <w:spacing w:beforeLines="0" w:afterLines="0" w:line="560" w:lineRule="exact"/>
        <w:ind w:firstLine="31680"/>
        <w:rPr>
          <w:color w:val="auto"/>
          <w:szCs w:val="32"/>
          <w:highlight w:val="none"/>
          <w:lang w:val="zh-CN"/>
        </w:rPr>
      </w:pPr>
      <w:bookmarkStart w:id="1362" w:name="_Toc6436_WPSOffice_Level1"/>
      <w:bookmarkStart w:id="1363" w:name="_Toc19488"/>
      <w:bookmarkStart w:id="1364" w:name="_Toc7237"/>
      <w:bookmarkStart w:id="1365" w:name="_Toc28388"/>
      <w:bookmarkStart w:id="1366" w:name="_Toc14260_WPSOffice_Level1"/>
      <w:bookmarkStart w:id="1367" w:name="_Toc32595_WPSOffice_Level1"/>
      <w:bookmarkStart w:id="1368" w:name="_Toc9520_WPSOffice_Level1"/>
      <w:bookmarkStart w:id="1369" w:name="_Toc31041"/>
      <w:bookmarkStart w:id="1370" w:name="_Toc27356"/>
      <w:bookmarkStart w:id="1371" w:name="_Toc19722"/>
      <w:r>
        <w:rPr>
          <w:rFonts w:hint="eastAsia"/>
          <w:color w:val="auto"/>
          <w:szCs w:val="32"/>
          <w:highlight w:val="none"/>
          <w:lang w:val="zh-CN"/>
        </w:rPr>
        <w:t>第十六章</w:t>
      </w:r>
      <w:r>
        <w:rPr>
          <w:color w:val="auto"/>
          <w:szCs w:val="32"/>
          <w:highlight w:val="none"/>
          <w:lang w:val="zh-CN"/>
        </w:rPr>
        <w:t xml:space="preserve"> </w:t>
      </w:r>
      <w:r>
        <w:rPr>
          <w:rFonts w:hint="eastAsia"/>
          <w:color w:val="auto"/>
          <w:szCs w:val="32"/>
          <w:highlight w:val="none"/>
          <w:lang w:val="zh-CN"/>
        </w:rPr>
        <w:t>财务经济评价</w:t>
      </w:r>
      <w:bookmarkEnd w:id="1362"/>
      <w:bookmarkEnd w:id="1363"/>
      <w:bookmarkEnd w:id="1364"/>
      <w:bookmarkEnd w:id="1365"/>
      <w:bookmarkEnd w:id="1366"/>
      <w:bookmarkEnd w:id="1367"/>
      <w:bookmarkEnd w:id="1368"/>
      <w:bookmarkEnd w:id="1369"/>
      <w:bookmarkEnd w:id="1370"/>
      <w:bookmarkEnd w:id="1371"/>
    </w:p>
    <w:p>
      <w:pPr>
        <w:pStyle w:val="32"/>
        <w:numPr>
          <w:ilvl w:val="0"/>
          <w:numId w:val="2"/>
        </w:numPr>
        <w:spacing w:line="560" w:lineRule="exact"/>
        <w:ind w:firstLine="31680"/>
        <w:jc w:val="left"/>
        <w:outlineLvl w:val="1"/>
        <w:rPr>
          <w:rFonts w:ascii="宋体" w:cs="宋体"/>
          <w:vanish/>
          <w:color w:val="auto"/>
          <w:sz w:val="28"/>
          <w:szCs w:val="28"/>
          <w:highlight w:val="none"/>
        </w:rPr>
      </w:pPr>
      <w:bookmarkStart w:id="1372" w:name="_Toc497731230"/>
      <w:bookmarkEnd w:id="1372"/>
      <w:bookmarkStart w:id="1373" w:name="_Toc467420315"/>
      <w:bookmarkEnd w:id="1373"/>
      <w:bookmarkStart w:id="1374" w:name="_Toc472090556"/>
      <w:bookmarkEnd w:id="1374"/>
      <w:bookmarkStart w:id="1375" w:name="_Toc32319"/>
      <w:bookmarkEnd w:id="1375"/>
      <w:bookmarkStart w:id="1376" w:name="_Toc485131242"/>
      <w:bookmarkEnd w:id="1376"/>
      <w:bookmarkStart w:id="1377" w:name="_Toc467418943"/>
      <w:bookmarkEnd w:id="1377"/>
      <w:bookmarkStart w:id="1378" w:name="_Toc485073139"/>
      <w:bookmarkEnd w:id="1378"/>
      <w:bookmarkStart w:id="1379" w:name="_Toc474941334"/>
      <w:bookmarkEnd w:id="1379"/>
      <w:bookmarkStart w:id="1380" w:name="_Toc485148843"/>
      <w:bookmarkEnd w:id="1380"/>
      <w:bookmarkStart w:id="1381" w:name="_Toc467419470"/>
      <w:bookmarkEnd w:id="1381"/>
      <w:bookmarkStart w:id="1382" w:name="_Toc485072735"/>
      <w:bookmarkEnd w:id="1382"/>
      <w:bookmarkStart w:id="1383" w:name="_Toc485071847"/>
      <w:bookmarkEnd w:id="1383"/>
      <w:bookmarkStart w:id="1384" w:name="_Toc485139388"/>
      <w:bookmarkEnd w:id="1384"/>
      <w:bookmarkStart w:id="1385" w:name="_Toc485079212"/>
      <w:bookmarkEnd w:id="1385"/>
      <w:bookmarkStart w:id="1386" w:name="_Toc486495389"/>
      <w:bookmarkEnd w:id="1386"/>
      <w:bookmarkStart w:id="1387" w:name="_Toc472090981"/>
      <w:bookmarkEnd w:id="1387"/>
      <w:bookmarkStart w:id="1388" w:name="_Toc485072937"/>
      <w:bookmarkEnd w:id="1388"/>
      <w:bookmarkStart w:id="1389" w:name="_Toc486495659"/>
      <w:bookmarkEnd w:id="1389"/>
      <w:bookmarkStart w:id="1390" w:name="_Toc485072533"/>
      <w:bookmarkEnd w:id="1390"/>
      <w:bookmarkStart w:id="1391" w:name="_Toc31618"/>
      <w:bookmarkEnd w:id="1391"/>
      <w:bookmarkStart w:id="1392" w:name="_Toc485071645"/>
      <w:bookmarkEnd w:id="1392"/>
      <w:bookmarkStart w:id="1393" w:name="_Toc468190088"/>
      <w:bookmarkEnd w:id="1393"/>
      <w:bookmarkStart w:id="1394" w:name="_Toc492900328"/>
      <w:bookmarkEnd w:id="1394"/>
      <w:bookmarkStart w:id="1395" w:name="_Toc493755229"/>
      <w:bookmarkEnd w:id="1395"/>
      <w:bookmarkStart w:id="1396" w:name="_Toc8753"/>
      <w:bookmarkEnd w:id="1396"/>
      <w:bookmarkStart w:id="1397" w:name="_Toc475520116"/>
      <w:bookmarkEnd w:id="1397"/>
      <w:bookmarkStart w:id="1398" w:name="_Toc496512812"/>
      <w:bookmarkEnd w:id="1398"/>
      <w:bookmarkStart w:id="1399" w:name="_Toc470509406"/>
      <w:bookmarkEnd w:id="1399"/>
      <w:bookmarkStart w:id="1400" w:name="_Toc485139590"/>
      <w:bookmarkEnd w:id="1400"/>
      <w:bookmarkStart w:id="1401" w:name="_Toc485131039"/>
      <w:bookmarkEnd w:id="1401"/>
    </w:p>
    <w:p>
      <w:pPr>
        <w:pStyle w:val="32"/>
        <w:spacing w:line="560" w:lineRule="exact"/>
        <w:ind w:firstLine="31680"/>
        <w:jc w:val="left"/>
        <w:outlineLvl w:val="1"/>
        <w:rPr>
          <w:rFonts w:ascii="宋体" w:cs="宋体"/>
          <w:color w:val="auto"/>
          <w:sz w:val="28"/>
          <w:szCs w:val="28"/>
          <w:highlight w:val="none"/>
        </w:rPr>
      </w:pPr>
      <w:bookmarkStart w:id="1402" w:name="_Toc31105"/>
      <w:bookmarkStart w:id="1403" w:name="_Toc529"/>
      <w:bookmarkStart w:id="1404" w:name="_Toc18999"/>
      <w:bookmarkStart w:id="1405" w:name="_Toc21522_WPSOffice_Level2"/>
      <w:bookmarkStart w:id="1406" w:name="_Toc32765"/>
      <w:bookmarkStart w:id="1407" w:name="_Toc12929"/>
      <w:bookmarkStart w:id="1408" w:name="_Toc23253"/>
      <w:bookmarkStart w:id="1409" w:name="_Toc23097_WPSOffice_Level2"/>
      <w:bookmarkStart w:id="1410" w:name="_Toc16553_WPSOffice_Level2"/>
      <w:bookmarkStart w:id="1411" w:name="_Toc22094_WPSOffice_Level2"/>
      <w:r>
        <w:rPr>
          <w:rFonts w:ascii="宋体" w:hAnsi="宋体" w:cs="宋体"/>
          <w:color w:val="auto"/>
          <w:sz w:val="28"/>
          <w:szCs w:val="28"/>
          <w:highlight w:val="none"/>
        </w:rPr>
        <w:t>16.1</w:t>
      </w:r>
      <w:r>
        <w:rPr>
          <w:rFonts w:hint="eastAsia" w:ascii="宋体" w:hAnsi="宋体" w:cs="宋体"/>
          <w:color w:val="auto"/>
          <w:sz w:val="28"/>
          <w:szCs w:val="28"/>
          <w:highlight w:val="none"/>
        </w:rPr>
        <w:t>基本数据</w:t>
      </w:r>
      <w:bookmarkEnd w:id="1402"/>
      <w:bookmarkEnd w:id="1403"/>
      <w:bookmarkEnd w:id="1404"/>
      <w:bookmarkEnd w:id="1405"/>
      <w:bookmarkEnd w:id="1406"/>
      <w:bookmarkEnd w:id="1407"/>
      <w:bookmarkEnd w:id="1408"/>
      <w:bookmarkEnd w:id="1409"/>
      <w:bookmarkEnd w:id="1410"/>
      <w:bookmarkEnd w:id="1411"/>
    </w:p>
    <w:p>
      <w:pPr>
        <w:pStyle w:val="32"/>
        <w:spacing w:line="560" w:lineRule="exact"/>
        <w:ind w:firstLine="31680"/>
        <w:jc w:val="left"/>
        <w:outlineLvl w:val="1"/>
        <w:rPr>
          <w:rFonts w:ascii="宋体" w:cs="宋体"/>
          <w:color w:val="auto"/>
          <w:sz w:val="28"/>
          <w:szCs w:val="28"/>
          <w:highlight w:val="none"/>
        </w:rPr>
      </w:pPr>
      <w:bookmarkStart w:id="1412" w:name="_Toc3327"/>
      <w:bookmarkStart w:id="1413" w:name="_Toc10286"/>
      <w:bookmarkStart w:id="1414" w:name="_Toc19031"/>
      <w:bookmarkStart w:id="1415" w:name="_Toc30758"/>
      <w:bookmarkStart w:id="1416" w:name="_Toc29614"/>
      <w:bookmarkStart w:id="1417" w:name="_Toc18377"/>
      <w:bookmarkStart w:id="1418" w:name="_Toc26596"/>
      <w:r>
        <w:rPr>
          <w:rFonts w:ascii="宋体" w:hAnsi="宋体" w:cs="宋体"/>
          <w:color w:val="auto"/>
          <w:sz w:val="28"/>
          <w:szCs w:val="28"/>
          <w:highlight w:val="none"/>
        </w:rPr>
        <w:t>16.1.1</w:t>
      </w:r>
      <w:r>
        <w:rPr>
          <w:rFonts w:hint="eastAsia" w:ascii="宋体" w:hAnsi="宋体" w:cs="宋体"/>
          <w:color w:val="auto"/>
          <w:sz w:val="28"/>
          <w:szCs w:val="28"/>
          <w:highlight w:val="none"/>
        </w:rPr>
        <w:t>生产规模</w:t>
      </w:r>
      <w:bookmarkEnd w:id="1412"/>
      <w:bookmarkEnd w:id="1413"/>
      <w:bookmarkEnd w:id="1414"/>
      <w:bookmarkEnd w:id="1415"/>
      <w:bookmarkEnd w:id="1416"/>
      <w:bookmarkEnd w:id="1417"/>
      <w:bookmarkEnd w:id="1418"/>
    </w:p>
    <w:p>
      <w:pPr>
        <w:pStyle w:val="32"/>
        <w:spacing w:line="560" w:lineRule="exact"/>
        <w:ind w:firstLine="31680"/>
        <w:jc w:val="center"/>
        <w:rPr>
          <w:rFonts w:ascii="宋体" w:cs="宋体"/>
          <w:color w:val="auto"/>
          <w:sz w:val="24"/>
          <w:highlight w:val="none"/>
          <w:lang w:val="en-GB"/>
        </w:rPr>
      </w:pPr>
      <w:r>
        <w:rPr>
          <w:rFonts w:hint="eastAsia" w:ascii="宋体" w:hAnsi="宋体" w:cs="宋体"/>
          <w:color w:val="auto"/>
          <w:sz w:val="24"/>
          <w:highlight w:val="none"/>
          <w:lang w:val="en-GB"/>
        </w:rPr>
        <w:t>表</w:t>
      </w:r>
      <w:r>
        <w:rPr>
          <w:rFonts w:ascii="宋体" w:hAnsi="宋体" w:cs="宋体"/>
          <w:color w:val="auto"/>
          <w:sz w:val="24"/>
          <w:highlight w:val="none"/>
          <w:lang w:val="en-GB"/>
        </w:rPr>
        <w:t xml:space="preserve">16-1 </w:t>
      </w:r>
      <w:r>
        <w:rPr>
          <w:rFonts w:hint="eastAsia" w:ascii="宋体" w:hAnsi="宋体" w:cs="宋体"/>
          <w:color w:val="auto"/>
          <w:sz w:val="24"/>
          <w:highlight w:val="none"/>
          <w:lang w:val="en-GB"/>
        </w:rPr>
        <w:t>生产规模</w:t>
      </w:r>
    </w:p>
    <w:tbl>
      <w:tblPr>
        <w:tblStyle w:val="1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60"/>
        <w:gridCol w:w="2050"/>
        <w:gridCol w:w="3424"/>
        <w:gridCol w:w="1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blHeader/>
          <w:jc w:val="center"/>
        </w:trPr>
        <w:tc>
          <w:tcPr>
            <w:tcW w:w="79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序号</w:t>
            </w:r>
          </w:p>
        </w:tc>
        <w:tc>
          <w:tcPr>
            <w:tcW w:w="1203"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名称</w:t>
            </w:r>
          </w:p>
        </w:tc>
        <w:tc>
          <w:tcPr>
            <w:tcW w:w="2009"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装置产能</w:t>
            </w:r>
          </w:p>
        </w:tc>
        <w:tc>
          <w:tcPr>
            <w:tcW w:w="98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98"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1</w:t>
            </w:r>
          </w:p>
        </w:tc>
        <w:tc>
          <w:tcPr>
            <w:tcW w:w="1203"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次氯酸钠</w:t>
            </w:r>
          </w:p>
        </w:tc>
        <w:tc>
          <w:tcPr>
            <w:tcW w:w="2009" w:type="pct"/>
            <w:vAlign w:val="center"/>
          </w:tcPr>
          <w:p>
            <w:pPr>
              <w:widowControl/>
              <w:jc w:val="center"/>
              <w:textAlignment w:val="center"/>
              <w:rPr>
                <w:rFonts w:ascii="宋体" w:cs="宋体"/>
                <w:color w:val="auto"/>
                <w:kern w:val="0"/>
                <w:szCs w:val="21"/>
                <w:highlight w:val="none"/>
              </w:rPr>
            </w:pPr>
            <w:r>
              <w:rPr>
                <w:rFonts w:ascii="宋体" w:hAnsi="宋体" w:cs="宋体"/>
                <w:color w:val="auto"/>
                <w:kern w:val="0"/>
                <w:szCs w:val="21"/>
                <w:highlight w:val="none"/>
              </w:rPr>
              <w:t>80000</w:t>
            </w:r>
          </w:p>
        </w:tc>
        <w:tc>
          <w:tcPr>
            <w:tcW w:w="988" w:type="pct"/>
            <w:vAlign w:val="center"/>
          </w:tcPr>
          <w:p>
            <w:pPr>
              <w:widowControl/>
              <w:jc w:val="center"/>
              <w:textAlignment w:val="center"/>
              <w:rPr>
                <w:rFonts w:ascii="宋体" w:cs="宋体"/>
                <w:color w:val="auto"/>
                <w:kern w:val="0"/>
                <w:szCs w:val="21"/>
                <w:highlight w:val="none"/>
              </w:rPr>
            </w:pPr>
            <w:r>
              <w:rPr>
                <w:rFonts w:hint="eastAsia" w:ascii="宋体" w:hAnsi="宋体" w:cs="宋体"/>
                <w:color w:val="auto"/>
                <w:kern w:val="0"/>
                <w:szCs w:val="21"/>
                <w:highlight w:val="none"/>
              </w:rPr>
              <w:t>吨</w:t>
            </w:r>
            <w:r>
              <w:rPr>
                <w:rFonts w:ascii="宋体" w:hAnsi="宋体" w:cs="宋体"/>
                <w:color w:val="auto"/>
                <w:kern w:val="0"/>
                <w:szCs w:val="21"/>
                <w:highlight w:val="none"/>
              </w:rPr>
              <w:t>/</w:t>
            </w:r>
            <w:r>
              <w:rPr>
                <w:rFonts w:hint="eastAsia" w:ascii="宋体" w:hAnsi="宋体" w:cs="宋体"/>
                <w:color w:val="auto"/>
                <w:kern w:val="0"/>
                <w:szCs w:val="21"/>
                <w:highlight w:val="none"/>
              </w:rPr>
              <w:t>年</w:t>
            </w:r>
          </w:p>
        </w:tc>
      </w:tr>
    </w:tbl>
    <w:p>
      <w:pPr>
        <w:pStyle w:val="32"/>
        <w:spacing w:line="560" w:lineRule="exact"/>
        <w:ind w:firstLine="31680"/>
        <w:jc w:val="left"/>
        <w:outlineLvl w:val="1"/>
        <w:rPr>
          <w:rFonts w:ascii="宋体" w:cs="宋体"/>
          <w:color w:val="auto"/>
          <w:sz w:val="28"/>
          <w:szCs w:val="28"/>
          <w:highlight w:val="none"/>
        </w:rPr>
      </w:pPr>
      <w:bookmarkStart w:id="1419" w:name="_Toc14012"/>
      <w:bookmarkStart w:id="1420" w:name="_Toc22472"/>
      <w:bookmarkStart w:id="1421" w:name="_Toc22264"/>
      <w:bookmarkStart w:id="1422" w:name="_Toc8357"/>
      <w:bookmarkStart w:id="1423" w:name="_Toc20555"/>
      <w:bookmarkStart w:id="1424" w:name="_Toc9732"/>
      <w:bookmarkStart w:id="1425" w:name="_Toc15169"/>
      <w:r>
        <w:rPr>
          <w:rFonts w:ascii="宋体" w:hAnsi="宋体" w:cs="宋体"/>
          <w:color w:val="auto"/>
          <w:sz w:val="28"/>
          <w:szCs w:val="28"/>
          <w:highlight w:val="none"/>
        </w:rPr>
        <w:t>16.1.2</w:t>
      </w:r>
      <w:r>
        <w:rPr>
          <w:rFonts w:hint="eastAsia" w:ascii="宋体" w:hAnsi="宋体" w:cs="宋体"/>
          <w:color w:val="auto"/>
          <w:sz w:val="28"/>
          <w:szCs w:val="28"/>
          <w:highlight w:val="none"/>
        </w:rPr>
        <w:t>建设投资</w:t>
      </w:r>
      <w:bookmarkEnd w:id="1419"/>
      <w:bookmarkEnd w:id="1420"/>
      <w:bookmarkEnd w:id="1421"/>
      <w:bookmarkEnd w:id="1422"/>
      <w:bookmarkEnd w:id="1423"/>
      <w:bookmarkEnd w:id="1424"/>
      <w:bookmarkEnd w:id="1425"/>
    </w:p>
    <w:p>
      <w:pPr>
        <w:pStyle w:val="32"/>
        <w:spacing w:line="560" w:lineRule="exact"/>
        <w:ind w:firstLine="31680"/>
        <w:jc w:val="left"/>
        <w:outlineLvl w:val="1"/>
        <w:rPr>
          <w:rFonts w:ascii="宋体" w:cs="宋体"/>
          <w:color w:val="auto"/>
          <w:sz w:val="28"/>
          <w:szCs w:val="28"/>
          <w:highlight w:val="none"/>
        </w:rPr>
      </w:pPr>
      <w:bookmarkStart w:id="1426" w:name="_Toc14506"/>
      <w:r>
        <w:rPr>
          <w:rFonts w:hint="eastAsia" w:ascii="宋体" w:hAnsi="宋体" w:cs="宋体"/>
          <w:color w:val="auto"/>
          <w:sz w:val="28"/>
          <w:szCs w:val="28"/>
          <w:highlight w:val="none"/>
        </w:rPr>
        <w:t>本项目建设投资</w:t>
      </w:r>
      <w:r>
        <w:rPr>
          <w:rFonts w:ascii="宋体" w:hAnsi="宋体" w:cs="宋体"/>
          <w:color w:val="auto"/>
          <w:sz w:val="28"/>
          <w:szCs w:val="28"/>
          <w:highlight w:val="none"/>
        </w:rPr>
        <w:t>450.00</w:t>
      </w:r>
      <w:r>
        <w:rPr>
          <w:rFonts w:hint="eastAsia" w:ascii="宋体" w:hAnsi="宋体" w:cs="宋体"/>
          <w:color w:val="auto"/>
          <w:sz w:val="28"/>
          <w:szCs w:val="28"/>
          <w:highlight w:val="none"/>
        </w:rPr>
        <w:t>万元。</w:t>
      </w:r>
      <w:bookmarkEnd w:id="1426"/>
    </w:p>
    <w:p>
      <w:pPr>
        <w:pStyle w:val="32"/>
        <w:spacing w:line="560" w:lineRule="exact"/>
        <w:ind w:firstLine="31680"/>
        <w:jc w:val="left"/>
        <w:outlineLvl w:val="1"/>
        <w:rPr>
          <w:rFonts w:ascii="宋体" w:cs="宋体"/>
          <w:color w:val="auto"/>
          <w:sz w:val="28"/>
          <w:szCs w:val="28"/>
          <w:highlight w:val="none"/>
        </w:rPr>
      </w:pPr>
      <w:bookmarkStart w:id="1427" w:name="_Toc2750"/>
      <w:bookmarkStart w:id="1428" w:name="_Toc10559"/>
      <w:bookmarkStart w:id="1429" w:name="_Toc9560"/>
      <w:bookmarkStart w:id="1430" w:name="_Toc17298"/>
      <w:bookmarkStart w:id="1431" w:name="_Toc26656"/>
      <w:bookmarkStart w:id="1432" w:name="_Toc17988"/>
      <w:bookmarkStart w:id="1433" w:name="_Toc1043"/>
      <w:r>
        <w:rPr>
          <w:rFonts w:ascii="宋体" w:hAnsi="宋体" w:cs="宋体"/>
          <w:color w:val="auto"/>
          <w:sz w:val="28"/>
          <w:szCs w:val="28"/>
          <w:highlight w:val="none"/>
        </w:rPr>
        <w:t>16.1.3</w:t>
      </w:r>
      <w:r>
        <w:rPr>
          <w:rFonts w:hint="eastAsia" w:ascii="宋体" w:hAnsi="宋体" w:cs="宋体"/>
          <w:color w:val="auto"/>
          <w:sz w:val="28"/>
          <w:szCs w:val="28"/>
          <w:highlight w:val="none"/>
        </w:rPr>
        <w:t>实施进度及计算期</w:t>
      </w:r>
      <w:bookmarkEnd w:id="1427"/>
      <w:bookmarkEnd w:id="1428"/>
      <w:bookmarkEnd w:id="1429"/>
      <w:bookmarkEnd w:id="1430"/>
      <w:bookmarkEnd w:id="1431"/>
      <w:bookmarkEnd w:id="1432"/>
      <w:bookmarkEnd w:id="1433"/>
    </w:p>
    <w:p>
      <w:pPr>
        <w:pStyle w:val="32"/>
        <w:spacing w:line="560" w:lineRule="exact"/>
        <w:ind w:firstLine="31680"/>
        <w:jc w:val="left"/>
        <w:outlineLvl w:val="1"/>
        <w:rPr>
          <w:rFonts w:ascii="宋体" w:cs="宋体"/>
          <w:color w:val="auto"/>
          <w:sz w:val="28"/>
          <w:szCs w:val="28"/>
          <w:highlight w:val="none"/>
        </w:rPr>
      </w:pPr>
      <w:bookmarkStart w:id="1434" w:name="_Toc23266"/>
      <w:r>
        <w:rPr>
          <w:rFonts w:hint="eastAsia" w:ascii="宋体" w:hAnsi="宋体" w:cs="宋体"/>
          <w:color w:val="auto"/>
          <w:sz w:val="28"/>
          <w:szCs w:val="28"/>
          <w:highlight w:val="none"/>
        </w:rPr>
        <w:t>项目建设期为</w:t>
      </w:r>
      <w:r>
        <w:rPr>
          <w:rFonts w:ascii="宋体" w:hAnsi="宋体" w:cs="宋体"/>
          <w:color w:val="auto"/>
          <w:sz w:val="28"/>
          <w:szCs w:val="28"/>
          <w:highlight w:val="none"/>
        </w:rPr>
        <w:t>1</w:t>
      </w:r>
      <w:r>
        <w:rPr>
          <w:rFonts w:hint="eastAsia" w:ascii="宋体" w:hAnsi="宋体" w:cs="宋体"/>
          <w:color w:val="auto"/>
          <w:sz w:val="28"/>
          <w:szCs w:val="28"/>
          <w:highlight w:val="none"/>
        </w:rPr>
        <w:t>年，第</w:t>
      </w:r>
      <w:r>
        <w:rPr>
          <w:rFonts w:ascii="宋体" w:hAnsi="宋体" w:cs="宋体"/>
          <w:color w:val="auto"/>
          <w:sz w:val="28"/>
          <w:szCs w:val="28"/>
          <w:highlight w:val="none"/>
        </w:rPr>
        <w:t>2</w:t>
      </w:r>
      <w:r>
        <w:rPr>
          <w:rFonts w:hint="eastAsia" w:ascii="宋体" w:hAnsi="宋体" w:cs="宋体"/>
          <w:color w:val="auto"/>
          <w:sz w:val="28"/>
          <w:szCs w:val="28"/>
          <w:highlight w:val="none"/>
        </w:rPr>
        <w:t>年投产，第</w:t>
      </w:r>
      <w:r>
        <w:rPr>
          <w:rFonts w:ascii="宋体" w:hAnsi="宋体" w:cs="宋体"/>
          <w:color w:val="auto"/>
          <w:sz w:val="28"/>
          <w:szCs w:val="28"/>
          <w:highlight w:val="none"/>
        </w:rPr>
        <w:t>3</w:t>
      </w:r>
      <w:r>
        <w:rPr>
          <w:rFonts w:hint="eastAsia" w:ascii="宋体" w:hAnsi="宋体" w:cs="宋体"/>
          <w:color w:val="auto"/>
          <w:sz w:val="28"/>
          <w:szCs w:val="28"/>
          <w:highlight w:val="none"/>
        </w:rPr>
        <w:t>年达产，计算期为</w:t>
      </w:r>
      <w:r>
        <w:rPr>
          <w:rFonts w:ascii="宋体" w:hAnsi="宋体" w:cs="宋体"/>
          <w:color w:val="auto"/>
          <w:sz w:val="28"/>
          <w:szCs w:val="28"/>
          <w:highlight w:val="none"/>
        </w:rPr>
        <w:t>10</w:t>
      </w:r>
      <w:r>
        <w:rPr>
          <w:rFonts w:hint="eastAsia" w:ascii="宋体" w:hAnsi="宋体" w:cs="宋体"/>
          <w:color w:val="auto"/>
          <w:sz w:val="28"/>
          <w:szCs w:val="28"/>
          <w:highlight w:val="none"/>
        </w:rPr>
        <w:t>年（含建设期）。计算期各年负荷详见表</w:t>
      </w:r>
      <w:r>
        <w:rPr>
          <w:rFonts w:ascii="宋体" w:hAnsi="宋体" w:cs="宋体"/>
          <w:color w:val="auto"/>
          <w:sz w:val="28"/>
          <w:szCs w:val="28"/>
          <w:highlight w:val="none"/>
        </w:rPr>
        <w:t>16.1-2</w:t>
      </w:r>
      <w:r>
        <w:rPr>
          <w:rFonts w:hint="eastAsia" w:ascii="宋体" w:hAnsi="宋体" w:cs="宋体"/>
          <w:color w:val="auto"/>
          <w:sz w:val="28"/>
          <w:szCs w:val="28"/>
          <w:highlight w:val="none"/>
        </w:rPr>
        <w:t>。</w:t>
      </w:r>
      <w:bookmarkEnd w:id="1434"/>
    </w:p>
    <w:p>
      <w:pPr>
        <w:pStyle w:val="32"/>
        <w:spacing w:line="560" w:lineRule="exact"/>
        <w:ind w:firstLine="31680"/>
        <w:jc w:val="center"/>
        <w:rPr>
          <w:rFonts w:ascii="宋体" w:cs="宋体"/>
          <w:color w:val="auto"/>
          <w:sz w:val="24"/>
          <w:highlight w:val="none"/>
        </w:rPr>
      </w:pPr>
      <w:r>
        <w:rPr>
          <w:rFonts w:hint="eastAsia" w:ascii="宋体" w:hAnsi="宋体" w:cs="宋体"/>
          <w:color w:val="auto"/>
          <w:sz w:val="24"/>
          <w:highlight w:val="none"/>
          <w:lang w:val="en-GB"/>
        </w:rPr>
        <w:t>表</w:t>
      </w:r>
      <w:r>
        <w:rPr>
          <w:rFonts w:ascii="宋体" w:hAnsi="宋体" w:cs="宋体"/>
          <w:color w:val="auto"/>
          <w:sz w:val="24"/>
          <w:highlight w:val="none"/>
          <w:lang w:val="en-GB"/>
        </w:rPr>
        <w:t>16.1-2</w:t>
      </w:r>
      <w:r>
        <w:rPr>
          <w:rFonts w:ascii="宋体" w:hAnsi="宋体" w:cs="宋体"/>
          <w:color w:val="auto"/>
          <w:sz w:val="24"/>
          <w:highlight w:val="none"/>
        </w:rPr>
        <w:t xml:space="preserve"> </w:t>
      </w:r>
      <w:r>
        <w:rPr>
          <w:rFonts w:hint="eastAsia" w:ascii="宋体" w:hAnsi="宋体" w:cs="宋体"/>
          <w:color w:val="auto"/>
          <w:sz w:val="24"/>
          <w:highlight w:val="none"/>
          <w:lang w:val="en-GB"/>
        </w:rPr>
        <w:t>计算期各年负荷</w:t>
      </w:r>
    </w:p>
    <w:tbl>
      <w:tblPr>
        <w:tblStyle w:val="16"/>
        <w:tblW w:w="4998" w:type="pct"/>
        <w:tblInd w:w="0" w:type="dxa"/>
        <w:tblLayout w:type="autofit"/>
        <w:tblCellMar>
          <w:top w:w="0" w:type="dxa"/>
          <w:left w:w="108" w:type="dxa"/>
          <w:bottom w:w="0" w:type="dxa"/>
          <w:right w:w="108" w:type="dxa"/>
        </w:tblCellMar>
      </w:tblPr>
      <w:tblGrid>
        <w:gridCol w:w="1419"/>
        <w:gridCol w:w="1420"/>
        <w:gridCol w:w="1420"/>
        <w:gridCol w:w="1420"/>
        <w:gridCol w:w="1420"/>
        <w:gridCol w:w="1420"/>
      </w:tblGrid>
      <w:tr>
        <w:tblPrEx>
          <w:tblCellMar>
            <w:top w:w="0" w:type="dxa"/>
            <w:left w:w="108" w:type="dxa"/>
            <w:bottom w:w="0" w:type="dxa"/>
            <w:right w:w="108" w:type="dxa"/>
          </w:tblCellMar>
        </w:tblPrEx>
        <w:trPr>
          <w:trHeight w:val="567" w:hRule="atLeast"/>
        </w:trPr>
        <w:tc>
          <w:tcPr>
            <w:tcW w:w="1666" w:type="pct"/>
            <w:gridSpan w:val="2"/>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hint="eastAsia" w:ascii="宋体" w:hAnsi="宋体" w:cs="宋体"/>
                <w:bCs/>
                <w:color w:val="auto"/>
                <w:kern w:val="0"/>
                <w:szCs w:val="21"/>
                <w:highlight w:val="none"/>
              </w:rPr>
              <w:t>年份</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hint="eastAsia" w:ascii="宋体" w:hAnsi="宋体" w:cs="宋体"/>
                <w:bCs/>
                <w:color w:val="auto"/>
                <w:kern w:val="0"/>
                <w:szCs w:val="21"/>
                <w:highlight w:val="none"/>
              </w:rPr>
              <w:t>第一年</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hint="eastAsia" w:ascii="宋体" w:hAnsi="宋体" w:cs="宋体"/>
                <w:bCs/>
                <w:color w:val="auto"/>
                <w:kern w:val="0"/>
                <w:szCs w:val="21"/>
                <w:highlight w:val="none"/>
              </w:rPr>
              <w:t>第二年</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hint="eastAsia" w:ascii="宋体" w:hAnsi="宋体" w:cs="宋体"/>
                <w:bCs/>
                <w:color w:val="auto"/>
                <w:kern w:val="0"/>
                <w:szCs w:val="21"/>
                <w:highlight w:val="none"/>
              </w:rPr>
              <w:t>第三年至第十年</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hint="eastAsia" w:ascii="宋体" w:hAnsi="宋体" w:cs="宋体"/>
                <w:bCs/>
                <w:color w:val="auto"/>
                <w:kern w:val="0"/>
                <w:szCs w:val="21"/>
                <w:highlight w:val="none"/>
              </w:rPr>
              <w:t>单位</w:t>
            </w:r>
          </w:p>
        </w:tc>
      </w:tr>
      <w:tr>
        <w:tblPrEx>
          <w:tblCellMar>
            <w:top w:w="0" w:type="dxa"/>
            <w:left w:w="108" w:type="dxa"/>
            <w:bottom w:w="0" w:type="dxa"/>
            <w:right w:w="108" w:type="dxa"/>
          </w:tblCellMar>
        </w:tblPrEx>
        <w:trPr>
          <w:trHeight w:val="567" w:hRule="atLeast"/>
        </w:trPr>
        <w:tc>
          <w:tcPr>
            <w:tcW w:w="1666" w:type="pct"/>
            <w:gridSpan w:val="2"/>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hint="eastAsia" w:ascii="宋体" w:hAnsi="宋体" w:cs="宋体"/>
                <w:bCs/>
                <w:color w:val="auto"/>
                <w:kern w:val="0"/>
                <w:szCs w:val="21"/>
                <w:highlight w:val="none"/>
              </w:rPr>
              <w:t>生产负荷</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ascii="宋体" w:cs="宋体"/>
                <w:bCs/>
                <w:color w:val="auto"/>
                <w:kern w:val="0"/>
                <w:szCs w:val="21"/>
                <w:highlight w:val="none"/>
              </w:rPr>
              <w:t>-</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ascii="宋体" w:hAnsi="宋体" w:cs="宋体"/>
                <w:bCs/>
                <w:color w:val="auto"/>
                <w:kern w:val="0"/>
                <w:szCs w:val="21"/>
                <w:highlight w:val="none"/>
              </w:rPr>
              <w:t>70%</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ascii="宋体" w:hAnsi="宋体" w:cs="宋体"/>
                <w:bCs/>
                <w:color w:val="auto"/>
                <w:kern w:val="0"/>
                <w:szCs w:val="21"/>
                <w:highlight w:val="none"/>
              </w:rPr>
              <w:t>100%</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p>
        </w:tc>
      </w:tr>
      <w:tr>
        <w:tblPrEx>
          <w:tblCellMar>
            <w:top w:w="0" w:type="dxa"/>
            <w:left w:w="108" w:type="dxa"/>
            <w:bottom w:w="0" w:type="dxa"/>
            <w:right w:w="108" w:type="dxa"/>
          </w:tblCellMar>
        </w:tblPrEx>
        <w:trPr>
          <w:trHeight w:val="567" w:hRule="atLeast"/>
        </w:trPr>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hint="eastAsia" w:ascii="宋体" w:hAnsi="宋体" w:cs="宋体"/>
                <w:bCs/>
                <w:color w:val="auto"/>
                <w:kern w:val="0"/>
                <w:szCs w:val="21"/>
                <w:highlight w:val="none"/>
              </w:rPr>
              <w:t>产能</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hint="eastAsia" w:ascii="宋体" w:hAnsi="宋体" w:cs="宋体"/>
                <w:bCs/>
                <w:color w:val="auto"/>
                <w:kern w:val="0"/>
                <w:szCs w:val="21"/>
                <w:highlight w:val="none"/>
              </w:rPr>
              <w:t>次氯酸钠</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ascii="宋体" w:cs="宋体"/>
                <w:bCs/>
                <w:color w:val="auto"/>
                <w:kern w:val="0"/>
                <w:szCs w:val="21"/>
                <w:highlight w:val="none"/>
              </w:rPr>
              <w:t>-</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ascii="宋体" w:hAnsi="宋体" w:cs="宋体"/>
                <w:bCs/>
                <w:color w:val="auto"/>
                <w:kern w:val="0"/>
                <w:szCs w:val="21"/>
                <w:highlight w:val="none"/>
              </w:rPr>
              <w:t>56000</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ascii="宋体" w:hAnsi="宋体" w:cs="宋体"/>
                <w:bCs/>
                <w:color w:val="auto"/>
                <w:kern w:val="0"/>
                <w:szCs w:val="21"/>
                <w:highlight w:val="none"/>
              </w:rPr>
              <w:t>80000</w:t>
            </w:r>
          </w:p>
        </w:tc>
        <w:tc>
          <w:tcPr>
            <w:tcW w:w="833"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bCs/>
                <w:color w:val="auto"/>
                <w:kern w:val="0"/>
                <w:szCs w:val="21"/>
                <w:highlight w:val="none"/>
              </w:rPr>
            </w:pPr>
            <w:r>
              <w:rPr>
                <w:rFonts w:hint="eastAsia" w:ascii="宋体" w:hAnsi="宋体" w:cs="宋体"/>
                <w:bCs/>
                <w:color w:val="auto"/>
                <w:kern w:val="0"/>
                <w:szCs w:val="21"/>
                <w:highlight w:val="none"/>
              </w:rPr>
              <w:t>吨</w:t>
            </w:r>
            <w:r>
              <w:rPr>
                <w:rFonts w:ascii="宋体" w:hAnsi="宋体" w:cs="宋体"/>
                <w:bCs/>
                <w:color w:val="auto"/>
                <w:kern w:val="0"/>
                <w:szCs w:val="21"/>
                <w:highlight w:val="none"/>
              </w:rPr>
              <w:t>/</w:t>
            </w:r>
            <w:r>
              <w:rPr>
                <w:rFonts w:hint="eastAsia" w:ascii="宋体" w:hAnsi="宋体" w:cs="宋体"/>
                <w:bCs/>
                <w:color w:val="auto"/>
                <w:kern w:val="0"/>
                <w:szCs w:val="21"/>
                <w:highlight w:val="none"/>
              </w:rPr>
              <w:t>年</w:t>
            </w:r>
          </w:p>
        </w:tc>
      </w:tr>
    </w:tbl>
    <w:p>
      <w:pPr>
        <w:pStyle w:val="32"/>
        <w:spacing w:line="560" w:lineRule="exact"/>
        <w:ind w:firstLine="31680"/>
        <w:jc w:val="left"/>
        <w:outlineLvl w:val="1"/>
        <w:rPr>
          <w:rFonts w:ascii="宋体" w:cs="宋体"/>
          <w:color w:val="auto"/>
          <w:sz w:val="28"/>
          <w:szCs w:val="28"/>
          <w:highlight w:val="none"/>
        </w:rPr>
      </w:pPr>
      <w:bookmarkStart w:id="1435" w:name="_Toc28767"/>
      <w:bookmarkStart w:id="1436" w:name="_Toc10260"/>
      <w:bookmarkStart w:id="1437" w:name="_Toc6549"/>
      <w:bookmarkStart w:id="1438" w:name="_Toc6302"/>
      <w:bookmarkStart w:id="1439" w:name="_Toc6661"/>
      <w:bookmarkStart w:id="1440" w:name="_Toc27209"/>
      <w:r>
        <w:rPr>
          <w:rFonts w:ascii="宋体" w:hAnsi="宋体" w:cs="宋体"/>
          <w:color w:val="auto"/>
          <w:sz w:val="28"/>
          <w:szCs w:val="28"/>
          <w:highlight w:val="none"/>
        </w:rPr>
        <w:t>16.1.4</w:t>
      </w:r>
      <w:bookmarkEnd w:id="1435"/>
      <w:bookmarkEnd w:id="1436"/>
      <w:bookmarkEnd w:id="1437"/>
      <w:bookmarkEnd w:id="1438"/>
      <w:bookmarkStart w:id="1441" w:name="_Toc3980"/>
      <w:bookmarkStart w:id="1442" w:name="_Toc1883"/>
      <w:bookmarkStart w:id="1443" w:name="_Toc12831"/>
      <w:bookmarkStart w:id="1444" w:name="_Toc921"/>
      <w:bookmarkStart w:id="1445" w:name="_Toc1690"/>
      <w:r>
        <w:rPr>
          <w:rFonts w:hint="eastAsia" w:ascii="宋体" w:hAnsi="宋体" w:cs="宋体"/>
          <w:color w:val="auto"/>
          <w:sz w:val="28"/>
          <w:szCs w:val="28"/>
          <w:highlight w:val="none"/>
        </w:rPr>
        <w:t>项目基准收益率</w:t>
      </w:r>
      <w:bookmarkEnd w:id="1439"/>
      <w:bookmarkEnd w:id="1440"/>
      <w:bookmarkEnd w:id="1441"/>
      <w:bookmarkEnd w:id="1442"/>
      <w:bookmarkEnd w:id="1443"/>
      <w:bookmarkEnd w:id="1444"/>
      <w:bookmarkEnd w:id="1445"/>
    </w:p>
    <w:p>
      <w:pPr>
        <w:pStyle w:val="32"/>
        <w:spacing w:line="560" w:lineRule="exact"/>
        <w:ind w:firstLine="31680"/>
        <w:jc w:val="left"/>
        <w:outlineLvl w:val="1"/>
        <w:rPr>
          <w:rFonts w:ascii="宋体" w:hAnsi="宋体" w:cs="宋体"/>
          <w:color w:val="auto"/>
          <w:sz w:val="28"/>
          <w:szCs w:val="28"/>
          <w:highlight w:val="none"/>
        </w:rPr>
      </w:pPr>
      <w:bookmarkStart w:id="1446" w:name="_Toc1490"/>
      <w:r>
        <w:rPr>
          <w:rFonts w:hint="eastAsia" w:ascii="宋体" w:hAnsi="宋体" w:cs="宋体"/>
          <w:color w:val="auto"/>
          <w:sz w:val="28"/>
          <w:szCs w:val="28"/>
          <w:highlight w:val="none"/>
        </w:rPr>
        <w:t>项目基准收益率：</w:t>
      </w:r>
      <w:r>
        <w:rPr>
          <w:rFonts w:ascii="宋体" w:hAnsi="宋体" w:cs="宋体"/>
          <w:color w:val="auto"/>
          <w:sz w:val="28"/>
          <w:szCs w:val="28"/>
          <w:highlight w:val="none"/>
        </w:rPr>
        <w:t>12%</w:t>
      </w:r>
      <w:bookmarkEnd w:id="1446"/>
    </w:p>
    <w:p>
      <w:pPr>
        <w:pStyle w:val="32"/>
        <w:spacing w:line="560" w:lineRule="exact"/>
        <w:ind w:firstLine="31680"/>
        <w:jc w:val="left"/>
        <w:outlineLvl w:val="1"/>
        <w:rPr>
          <w:rFonts w:ascii="宋体" w:cs="宋体"/>
          <w:color w:val="auto"/>
          <w:sz w:val="28"/>
          <w:szCs w:val="28"/>
          <w:highlight w:val="none"/>
        </w:rPr>
      </w:pPr>
      <w:bookmarkStart w:id="1447" w:name="_Toc23930"/>
      <w:r>
        <w:rPr>
          <w:rFonts w:hint="eastAsia" w:ascii="宋体" w:hAnsi="宋体" w:cs="宋体"/>
          <w:color w:val="auto"/>
          <w:sz w:val="28"/>
          <w:szCs w:val="28"/>
          <w:highlight w:val="none"/>
        </w:rPr>
        <w:t>项目总投资使用计划与资金筹措详见表。</w:t>
      </w:r>
      <w:bookmarkEnd w:id="1447"/>
    </w:p>
    <w:p>
      <w:pPr>
        <w:pStyle w:val="32"/>
        <w:spacing w:line="560" w:lineRule="exact"/>
        <w:ind w:firstLine="31680"/>
        <w:jc w:val="left"/>
        <w:outlineLvl w:val="1"/>
        <w:rPr>
          <w:rFonts w:ascii="宋体" w:cs="宋体"/>
          <w:color w:val="auto"/>
          <w:sz w:val="28"/>
          <w:szCs w:val="28"/>
          <w:highlight w:val="none"/>
        </w:rPr>
      </w:pPr>
      <w:bookmarkStart w:id="1448" w:name="_Toc7930"/>
      <w:bookmarkStart w:id="1449" w:name="_Toc11363_WPSOffice_Level2"/>
      <w:bookmarkStart w:id="1450" w:name="_Toc31108"/>
      <w:bookmarkStart w:id="1451" w:name="_Toc32322_WPSOffice_Level2"/>
      <w:bookmarkStart w:id="1452" w:name="_Toc326"/>
      <w:bookmarkStart w:id="1453" w:name="_Toc22793_WPSOffice_Level2"/>
      <w:bookmarkStart w:id="1454" w:name="_Toc25380"/>
      <w:bookmarkStart w:id="1455" w:name="_Toc15277"/>
      <w:bookmarkStart w:id="1456" w:name="_Toc23893_WPSOffice_Level2"/>
      <w:bookmarkStart w:id="1457" w:name="_Toc14120"/>
      <w:r>
        <w:rPr>
          <w:rFonts w:ascii="宋体" w:hAnsi="宋体" w:cs="宋体"/>
          <w:color w:val="auto"/>
          <w:sz w:val="28"/>
          <w:szCs w:val="28"/>
          <w:highlight w:val="none"/>
        </w:rPr>
        <w:t>16.2</w:t>
      </w:r>
      <w:r>
        <w:rPr>
          <w:rFonts w:hint="eastAsia" w:ascii="宋体" w:hAnsi="宋体" w:cs="宋体"/>
          <w:color w:val="auto"/>
          <w:sz w:val="28"/>
          <w:szCs w:val="28"/>
          <w:highlight w:val="none"/>
        </w:rPr>
        <w:t>产品成本估算</w:t>
      </w:r>
      <w:bookmarkEnd w:id="1448"/>
      <w:bookmarkEnd w:id="1449"/>
      <w:bookmarkEnd w:id="1450"/>
      <w:bookmarkEnd w:id="1451"/>
      <w:bookmarkEnd w:id="1452"/>
      <w:bookmarkEnd w:id="1453"/>
      <w:bookmarkEnd w:id="1454"/>
      <w:bookmarkEnd w:id="1455"/>
      <w:bookmarkEnd w:id="1456"/>
      <w:bookmarkEnd w:id="1457"/>
    </w:p>
    <w:p>
      <w:pPr>
        <w:pStyle w:val="32"/>
        <w:spacing w:line="560" w:lineRule="exact"/>
        <w:ind w:firstLine="31680"/>
        <w:jc w:val="left"/>
        <w:outlineLvl w:val="1"/>
        <w:rPr>
          <w:rFonts w:ascii="宋体" w:cs="宋体"/>
          <w:color w:val="auto"/>
          <w:sz w:val="28"/>
          <w:szCs w:val="28"/>
          <w:highlight w:val="none"/>
        </w:rPr>
      </w:pPr>
      <w:bookmarkStart w:id="1458" w:name="_Toc2197"/>
      <w:bookmarkStart w:id="1459" w:name="_Toc18614"/>
      <w:bookmarkStart w:id="1460" w:name="_Toc25027"/>
      <w:bookmarkStart w:id="1461" w:name="_Toc18879"/>
      <w:bookmarkStart w:id="1462" w:name="_Toc24957"/>
      <w:bookmarkStart w:id="1463" w:name="_Toc15003"/>
      <w:bookmarkStart w:id="1464" w:name="_Toc8603"/>
      <w:r>
        <w:rPr>
          <w:rFonts w:ascii="宋体" w:hAnsi="宋体" w:cs="宋体"/>
          <w:color w:val="auto"/>
          <w:sz w:val="28"/>
          <w:szCs w:val="28"/>
          <w:highlight w:val="none"/>
        </w:rPr>
        <w:t>16.2.1</w:t>
      </w:r>
      <w:r>
        <w:rPr>
          <w:rFonts w:hint="eastAsia" w:ascii="宋体" w:hAnsi="宋体" w:cs="宋体"/>
          <w:color w:val="auto"/>
          <w:sz w:val="28"/>
          <w:szCs w:val="28"/>
          <w:highlight w:val="none"/>
        </w:rPr>
        <w:t>估算依据</w:t>
      </w:r>
      <w:bookmarkEnd w:id="1458"/>
      <w:bookmarkEnd w:id="1459"/>
      <w:bookmarkEnd w:id="1460"/>
      <w:bookmarkEnd w:id="1461"/>
      <w:bookmarkEnd w:id="1462"/>
      <w:bookmarkEnd w:id="1463"/>
      <w:bookmarkEnd w:id="1464"/>
    </w:p>
    <w:p>
      <w:pPr>
        <w:pStyle w:val="32"/>
        <w:spacing w:line="560" w:lineRule="exact"/>
        <w:ind w:firstLine="31680"/>
        <w:jc w:val="left"/>
        <w:outlineLvl w:val="1"/>
        <w:rPr>
          <w:rFonts w:ascii="宋体" w:cs="宋体"/>
          <w:color w:val="auto"/>
          <w:sz w:val="28"/>
          <w:szCs w:val="28"/>
          <w:highlight w:val="none"/>
          <w:lang w:val="en-GB"/>
        </w:rPr>
      </w:pPr>
      <w:bookmarkStart w:id="1465" w:name="_Toc14365"/>
      <w:r>
        <w:rPr>
          <w:rFonts w:ascii="宋体" w:hAnsi="宋体" w:cs="宋体"/>
          <w:color w:val="auto"/>
          <w:sz w:val="28"/>
          <w:szCs w:val="28"/>
          <w:highlight w:val="none"/>
          <w:lang w:val="en-GB"/>
        </w:rPr>
        <w:t>1</w:t>
      </w:r>
      <w:r>
        <w:rPr>
          <w:rFonts w:hint="eastAsia" w:ascii="宋体" w:hAnsi="宋体" w:cs="宋体"/>
          <w:color w:val="auto"/>
          <w:sz w:val="28"/>
          <w:szCs w:val="28"/>
          <w:highlight w:val="none"/>
          <w:lang w:val="en-GB"/>
        </w:rPr>
        <w:t>）原辅助材料及动力价格由委托方提供近期市场价格。</w:t>
      </w:r>
      <w:bookmarkEnd w:id="1465"/>
    </w:p>
    <w:p>
      <w:pPr>
        <w:pStyle w:val="32"/>
        <w:spacing w:line="560" w:lineRule="exact"/>
        <w:ind w:firstLine="31680"/>
        <w:jc w:val="left"/>
        <w:outlineLvl w:val="1"/>
        <w:rPr>
          <w:rFonts w:ascii="宋体" w:cs="宋体"/>
          <w:color w:val="auto"/>
          <w:sz w:val="28"/>
          <w:szCs w:val="28"/>
          <w:highlight w:val="none"/>
        </w:rPr>
      </w:pPr>
      <w:bookmarkStart w:id="1466" w:name="_Toc31567"/>
      <w:r>
        <w:rPr>
          <w:rFonts w:ascii="宋体" w:hAnsi="宋体" w:cs="宋体"/>
          <w:color w:val="auto"/>
          <w:sz w:val="28"/>
          <w:szCs w:val="28"/>
          <w:highlight w:val="none"/>
        </w:rPr>
        <w:t>2</w:t>
      </w:r>
      <w:r>
        <w:rPr>
          <w:rFonts w:hint="eastAsia" w:ascii="宋体" w:hAnsi="宋体" w:cs="宋体"/>
          <w:color w:val="auto"/>
          <w:sz w:val="28"/>
          <w:szCs w:val="28"/>
          <w:highlight w:val="none"/>
          <w:lang w:val="en-GB"/>
        </w:rPr>
        <w:t>）折旧：残值取</w:t>
      </w:r>
      <w:r>
        <w:rPr>
          <w:rFonts w:ascii="宋体" w:hAnsi="宋体" w:cs="宋体"/>
          <w:color w:val="auto"/>
          <w:sz w:val="28"/>
          <w:szCs w:val="28"/>
          <w:highlight w:val="none"/>
          <w:lang w:val="en-GB"/>
        </w:rPr>
        <w:t>5%</w:t>
      </w:r>
      <w:r>
        <w:rPr>
          <w:rFonts w:hint="eastAsia" w:ascii="宋体" w:hAnsi="宋体" w:cs="宋体"/>
          <w:color w:val="auto"/>
          <w:sz w:val="28"/>
          <w:szCs w:val="28"/>
          <w:highlight w:val="none"/>
          <w:lang w:val="en-GB"/>
        </w:rPr>
        <w:t>。</w:t>
      </w:r>
      <w:bookmarkEnd w:id="1466"/>
    </w:p>
    <w:p>
      <w:pPr>
        <w:pStyle w:val="32"/>
        <w:spacing w:line="560" w:lineRule="exact"/>
        <w:ind w:firstLine="31680"/>
        <w:jc w:val="left"/>
        <w:outlineLvl w:val="1"/>
        <w:rPr>
          <w:rFonts w:ascii="宋体" w:cs="宋体"/>
          <w:color w:val="auto"/>
          <w:sz w:val="28"/>
          <w:szCs w:val="28"/>
          <w:highlight w:val="none"/>
          <w:lang w:val="en-GB"/>
        </w:rPr>
      </w:pPr>
      <w:bookmarkStart w:id="1467" w:name="_Toc5606"/>
      <w:r>
        <w:rPr>
          <w:rFonts w:ascii="宋体" w:hAnsi="宋体" w:cs="宋体"/>
          <w:color w:val="auto"/>
          <w:sz w:val="28"/>
          <w:szCs w:val="28"/>
          <w:highlight w:val="none"/>
        </w:rPr>
        <w:t>3</w:t>
      </w:r>
      <w:r>
        <w:rPr>
          <w:rFonts w:hint="eastAsia" w:ascii="宋体" w:hAnsi="宋体" w:cs="宋体"/>
          <w:color w:val="auto"/>
          <w:sz w:val="28"/>
          <w:szCs w:val="28"/>
          <w:highlight w:val="none"/>
          <w:lang w:val="en-GB"/>
        </w:rPr>
        <w:t>）修理费</w:t>
      </w:r>
      <w:r>
        <w:rPr>
          <w:rFonts w:hint="eastAsia" w:ascii="宋体" w:hAnsi="宋体" w:cs="宋体"/>
          <w:color w:val="auto"/>
          <w:sz w:val="28"/>
          <w:szCs w:val="28"/>
          <w:highlight w:val="none"/>
        </w:rPr>
        <w:t>：固定资产原值</w:t>
      </w:r>
      <w:r>
        <w:rPr>
          <w:rFonts w:ascii="宋体" w:hAnsi="宋体" w:cs="宋体"/>
          <w:color w:val="auto"/>
          <w:sz w:val="28"/>
          <w:szCs w:val="28"/>
          <w:highlight w:val="none"/>
        </w:rPr>
        <w:t>4%</w:t>
      </w:r>
      <w:r>
        <w:rPr>
          <w:rFonts w:hint="eastAsia" w:ascii="宋体" w:hAnsi="宋体" w:cs="宋体"/>
          <w:color w:val="auto"/>
          <w:sz w:val="28"/>
          <w:szCs w:val="28"/>
          <w:highlight w:val="none"/>
          <w:lang w:val="en-GB"/>
        </w:rPr>
        <w:t>。</w:t>
      </w:r>
      <w:bookmarkEnd w:id="1467"/>
      <w:r>
        <w:rPr>
          <w:rFonts w:ascii="宋体" w:cs="宋体"/>
          <w:color w:val="auto"/>
          <w:sz w:val="28"/>
          <w:szCs w:val="28"/>
          <w:highlight w:val="none"/>
          <w:lang w:val="en-GB"/>
        </w:rPr>
        <w:tab/>
      </w:r>
    </w:p>
    <w:p>
      <w:pPr>
        <w:pStyle w:val="32"/>
        <w:spacing w:line="560" w:lineRule="exact"/>
        <w:ind w:firstLine="31680"/>
        <w:jc w:val="left"/>
        <w:outlineLvl w:val="1"/>
        <w:rPr>
          <w:rFonts w:ascii="宋体" w:cs="宋体"/>
          <w:color w:val="auto"/>
          <w:sz w:val="28"/>
          <w:szCs w:val="28"/>
          <w:highlight w:val="none"/>
          <w:lang w:val="en-GB"/>
        </w:rPr>
      </w:pPr>
      <w:bookmarkStart w:id="1468" w:name="_Toc13515"/>
      <w:r>
        <w:rPr>
          <w:rFonts w:ascii="宋体" w:hAnsi="宋体" w:cs="宋体"/>
          <w:color w:val="auto"/>
          <w:sz w:val="28"/>
          <w:szCs w:val="28"/>
          <w:highlight w:val="none"/>
        </w:rPr>
        <w:t>4</w:t>
      </w:r>
      <w:r>
        <w:rPr>
          <w:rFonts w:hint="eastAsia" w:ascii="宋体" w:hAnsi="宋体" w:cs="宋体"/>
          <w:color w:val="auto"/>
          <w:sz w:val="28"/>
          <w:szCs w:val="28"/>
          <w:highlight w:val="none"/>
          <w:lang w:val="en-GB"/>
        </w:rPr>
        <w:t>）</w:t>
      </w:r>
      <w:r>
        <w:rPr>
          <w:rFonts w:hint="eastAsia" w:ascii="宋体" w:hAnsi="宋体" w:cs="宋体"/>
          <w:color w:val="auto"/>
          <w:sz w:val="28"/>
          <w:szCs w:val="28"/>
          <w:highlight w:val="none"/>
        </w:rPr>
        <w:t>其他费用：销售收入</w:t>
      </w:r>
      <w:r>
        <w:rPr>
          <w:rFonts w:ascii="宋体" w:hAnsi="宋体" w:cs="宋体"/>
          <w:color w:val="auto"/>
          <w:sz w:val="28"/>
          <w:szCs w:val="28"/>
          <w:highlight w:val="none"/>
        </w:rPr>
        <w:t>2%</w:t>
      </w:r>
      <w:r>
        <w:rPr>
          <w:rFonts w:hint="eastAsia" w:ascii="宋体" w:hAnsi="宋体" w:cs="宋体"/>
          <w:color w:val="auto"/>
          <w:sz w:val="28"/>
          <w:szCs w:val="28"/>
          <w:highlight w:val="none"/>
          <w:lang w:val="en-GB"/>
        </w:rPr>
        <w:t>。</w:t>
      </w:r>
      <w:bookmarkEnd w:id="1468"/>
    </w:p>
    <w:p>
      <w:pPr>
        <w:pStyle w:val="32"/>
        <w:spacing w:line="560" w:lineRule="exact"/>
        <w:ind w:firstLine="31680"/>
        <w:jc w:val="left"/>
        <w:outlineLvl w:val="1"/>
        <w:rPr>
          <w:rFonts w:ascii="宋体" w:cs="宋体"/>
          <w:color w:val="auto"/>
          <w:sz w:val="28"/>
          <w:szCs w:val="28"/>
          <w:highlight w:val="none"/>
        </w:rPr>
      </w:pPr>
      <w:bookmarkStart w:id="1469" w:name="_Toc28896"/>
      <w:bookmarkStart w:id="1470" w:name="_Toc17561"/>
      <w:bookmarkStart w:id="1471" w:name="_Toc31376"/>
      <w:bookmarkStart w:id="1472" w:name="_Toc29606"/>
      <w:bookmarkStart w:id="1473" w:name="_Toc4975"/>
      <w:bookmarkStart w:id="1474" w:name="_Toc20529"/>
      <w:bookmarkStart w:id="1475" w:name="_Toc733"/>
      <w:r>
        <w:rPr>
          <w:rFonts w:ascii="宋体" w:hAnsi="宋体" w:cs="宋体"/>
          <w:color w:val="auto"/>
          <w:sz w:val="28"/>
          <w:szCs w:val="28"/>
          <w:highlight w:val="none"/>
        </w:rPr>
        <w:t>16.2.2</w:t>
      </w:r>
      <w:r>
        <w:rPr>
          <w:rFonts w:hint="eastAsia" w:ascii="宋体" w:hAnsi="宋体" w:cs="宋体"/>
          <w:color w:val="auto"/>
          <w:sz w:val="28"/>
          <w:szCs w:val="28"/>
          <w:highlight w:val="none"/>
        </w:rPr>
        <w:t>产品成本估算</w:t>
      </w:r>
      <w:bookmarkEnd w:id="1469"/>
      <w:bookmarkEnd w:id="1470"/>
      <w:bookmarkEnd w:id="1471"/>
      <w:bookmarkEnd w:id="1472"/>
      <w:bookmarkEnd w:id="1473"/>
      <w:bookmarkEnd w:id="1474"/>
      <w:bookmarkEnd w:id="1475"/>
    </w:p>
    <w:p>
      <w:pPr>
        <w:pStyle w:val="32"/>
        <w:spacing w:line="560" w:lineRule="exact"/>
        <w:ind w:firstLine="31680"/>
        <w:jc w:val="left"/>
        <w:outlineLvl w:val="1"/>
        <w:rPr>
          <w:rFonts w:ascii="宋体" w:cs="宋体"/>
          <w:color w:val="auto"/>
          <w:sz w:val="28"/>
          <w:szCs w:val="28"/>
          <w:highlight w:val="none"/>
        </w:rPr>
      </w:pPr>
      <w:bookmarkStart w:id="1476" w:name="_Toc13968"/>
      <w:r>
        <w:rPr>
          <w:rFonts w:hint="eastAsia" w:ascii="宋体" w:hAnsi="宋体" w:cs="宋体"/>
          <w:color w:val="auto"/>
          <w:sz w:val="28"/>
          <w:szCs w:val="28"/>
          <w:highlight w:val="none"/>
        </w:rPr>
        <w:t>估算产品生产成本在</w:t>
      </w:r>
      <w:r>
        <w:rPr>
          <w:rFonts w:ascii="宋体" w:hAnsi="宋体" w:cs="宋体"/>
          <w:color w:val="auto"/>
          <w:sz w:val="28"/>
          <w:szCs w:val="28"/>
          <w:highlight w:val="none"/>
        </w:rPr>
        <w:t>100%</w:t>
      </w:r>
      <w:r>
        <w:rPr>
          <w:rFonts w:hint="eastAsia" w:ascii="宋体" w:hAnsi="宋体" w:cs="宋体"/>
          <w:color w:val="auto"/>
          <w:sz w:val="28"/>
          <w:szCs w:val="28"/>
          <w:highlight w:val="none"/>
        </w:rPr>
        <w:t>生产负荷下的产品成本及整个生产期内各年总成本详见《总成本费用估算表》。</w:t>
      </w:r>
      <w:bookmarkEnd w:id="1476"/>
    </w:p>
    <w:p>
      <w:pPr>
        <w:pStyle w:val="32"/>
        <w:spacing w:line="560" w:lineRule="exact"/>
        <w:ind w:firstLine="31680"/>
        <w:jc w:val="left"/>
        <w:outlineLvl w:val="1"/>
        <w:rPr>
          <w:rFonts w:ascii="宋体" w:cs="宋体"/>
          <w:color w:val="auto"/>
          <w:sz w:val="28"/>
          <w:szCs w:val="28"/>
          <w:highlight w:val="none"/>
        </w:rPr>
      </w:pPr>
      <w:bookmarkStart w:id="1477" w:name="_Toc28658"/>
      <w:bookmarkStart w:id="1478" w:name="_Toc18951"/>
      <w:bookmarkStart w:id="1479" w:name="_Toc22122_WPSOffice_Level2"/>
      <w:bookmarkStart w:id="1480" w:name="_Toc4627_WPSOffice_Level2"/>
      <w:bookmarkStart w:id="1481" w:name="_Toc21842"/>
      <w:bookmarkStart w:id="1482" w:name="_Toc15505"/>
      <w:bookmarkStart w:id="1483" w:name="_Toc10046_WPSOffice_Level2"/>
      <w:bookmarkStart w:id="1484" w:name="_Toc28589_WPSOffice_Level2"/>
      <w:bookmarkStart w:id="1485" w:name="_Toc20080"/>
      <w:bookmarkStart w:id="1486" w:name="_Toc10969"/>
      <w:r>
        <w:rPr>
          <w:rFonts w:ascii="宋体" w:hAnsi="宋体" w:cs="宋体"/>
          <w:color w:val="auto"/>
          <w:sz w:val="28"/>
          <w:szCs w:val="28"/>
          <w:highlight w:val="none"/>
        </w:rPr>
        <w:t>16.3</w:t>
      </w:r>
      <w:r>
        <w:rPr>
          <w:rFonts w:hint="eastAsia" w:ascii="宋体" w:hAnsi="宋体" w:cs="宋体"/>
          <w:color w:val="auto"/>
          <w:sz w:val="28"/>
          <w:szCs w:val="28"/>
          <w:highlight w:val="none"/>
        </w:rPr>
        <w:t>主要效益指标估算</w:t>
      </w:r>
      <w:bookmarkEnd w:id="1477"/>
      <w:bookmarkEnd w:id="1478"/>
      <w:bookmarkEnd w:id="1479"/>
      <w:bookmarkEnd w:id="1480"/>
      <w:bookmarkEnd w:id="1481"/>
      <w:bookmarkEnd w:id="1482"/>
      <w:bookmarkEnd w:id="1483"/>
      <w:bookmarkEnd w:id="1484"/>
      <w:bookmarkEnd w:id="1485"/>
      <w:bookmarkEnd w:id="1486"/>
    </w:p>
    <w:p>
      <w:pPr>
        <w:pStyle w:val="32"/>
        <w:spacing w:line="560" w:lineRule="exact"/>
        <w:ind w:firstLine="31680"/>
        <w:jc w:val="left"/>
        <w:outlineLvl w:val="1"/>
        <w:rPr>
          <w:rFonts w:ascii="宋体" w:cs="宋体"/>
          <w:color w:val="auto"/>
          <w:sz w:val="28"/>
          <w:szCs w:val="28"/>
          <w:highlight w:val="none"/>
        </w:rPr>
      </w:pPr>
      <w:bookmarkStart w:id="1487" w:name="_Toc25467"/>
      <w:bookmarkStart w:id="1488" w:name="_Toc24088"/>
      <w:bookmarkStart w:id="1489" w:name="_Toc17140"/>
      <w:bookmarkStart w:id="1490" w:name="_Toc20427"/>
      <w:bookmarkStart w:id="1491" w:name="_Toc5821"/>
      <w:bookmarkStart w:id="1492" w:name="_Toc20869"/>
      <w:bookmarkStart w:id="1493" w:name="_Toc26685"/>
      <w:r>
        <w:rPr>
          <w:rFonts w:ascii="宋体" w:hAnsi="宋体" w:cs="宋体"/>
          <w:color w:val="auto"/>
          <w:sz w:val="28"/>
          <w:szCs w:val="28"/>
          <w:highlight w:val="none"/>
        </w:rPr>
        <w:t>16.3.1</w:t>
      </w:r>
      <w:r>
        <w:rPr>
          <w:rFonts w:hint="eastAsia" w:ascii="宋体" w:hAnsi="宋体" w:cs="宋体"/>
          <w:color w:val="auto"/>
          <w:sz w:val="28"/>
          <w:szCs w:val="28"/>
          <w:highlight w:val="none"/>
        </w:rPr>
        <w:t>估算依据</w:t>
      </w:r>
      <w:bookmarkEnd w:id="1487"/>
      <w:bookmarkEnd w:id="1488"/>
      <w:bookmarkEnd w:id="1489"/>
      <w:bookmarkEnd w:id="1490"/>
      <w:bookmarkEnd w:id="1491"/>
      <w:bookmarkEnd w:id="1492"/>
      <w:bookmarkEnd w:id="1493"/>
    </w:p>
    <w:p>
      <w:pPr>
        <w:pStyle w:val="32"/>
        <w:spacing w:line="560" w:lineRule="exact"/>
        <w:ind w:firstLine="31680"/>
        <w:jc w:val="left"/>
        <w:outlineLvl w:val="1"/>
        <w:rPr>
          <w:rFonts w:ascii="宋体" w:cs="宋体"/>
          <w:color w:val="auto"/>
          <w:sz w:val="28"/>
          <w:szCs w:val="28"/>
          <w:highlight w:val="none"/>
        </w:rPr>
      </w:pPr>
      <w:bookmarkStart w:id="1494" w:name="_Toc13601"/>
      <w:r>
        <w:rPr>
          <w:rFonts w:ascii="宋体" w:hAnsi="宋体" w:cs="宋体"/>
          <w:color w:val="auto"/>
          <w:sz w:val="28"/>
          <w:szCs w:val="28"/>
          <w:highlight w:val="none"/>
        </w:rPr>
        <w:t>1</w:t>
      </w:r>
      <w:r>
        <w:rPr>
          <w:rFonts w:hint="eastAsia" w:ascii="宋体" w:hAnsi="宋体" w:cs="宋体"/>
          <w:color w:val="auto"/>
          <w:sz w:val="28"/>
          <w:szCs w:val="28"/>
          <w:highlight w:val="none"/>
        </w:rPr>
        <w:t>）原料及产品价格按近期市场价格估算。</w:t>
      </w:r>
      <w:bookmarkEnd w:id="1494"/>
    </w:p>
    <w:p>
      <w:pPr>
        <w:pStyle w:val="32"/>
        <w:spacing w:line="560" w:lineRule="exact"/>
        <w:ind w:firstLine="31680"/>
        <w:jc w:val="center"/>
        <w:rPr>
          <w:rFonts w:ascii="宋体" w:cs="宋体"/>
          <w:color w:val="auto"/>
          <w:sz w:val="24"/>
          <w:highlight w:val="none"/>
        </w:rPr>
      </w:pPr>
      <w:r>
        <w:rPr>
          <w:rFonts w:hint="eastAsia" w:ascii="宋体" w:hAnsi="宋体" w:cs="宋体"/>
          <w:color w:val="auto"/>
          <w:sz w:val="24"/>
          <w:highlight w:val="none"/>
        </w:rPr>
        <w:t>表</w:t>
      </w:r>
      <w:r>
        <w:rPr>
          <w:rFonts w:ascii="宋体" w:hAnsi="宋体" w:cs="宋体"/>
          <w:color w:val="auto"/>
          <w:sz w:val="24"/>
          <w:highlight w:val="none"/>
        </w:rPr>
        <w:t xml:space="preserve">16-1 </w:t>
      </w:r>
      <w:r>
        <w:rPr>
          <w:rFonts w:hint="eastAsia" w:ascii="宋体" w:hAnsi="宋体" w:cs="宋体"/>
          <w:color w:val="auto"/>
          <w:sz w:val="24"/>
          <w:highlight w:val="none"/>
        </w:rPr>
        <w:t>原辅材料、动力采购价格及成本</w:t>
      </w:r>
    </w:p>
    <w:tbl>
      <w:tblPr>
        <w:tblStyle w:val="16"/>
        <w:tblW w:w="4998" w:type="pct"/>
        <w:tblInd w:w="0" w:type="dxa"/>
        <w:tblLayout w:type="fixed"/>
        <w:tblCellMar>
          <w:top w:w="0" w:type="dxa"/>
          <w:left w:w="108" w:type="dxa"/>
          <w:bottom w:w="0" w:type="dxa"/>
          <w:right w:w="108" w:type="dxa"/>
        </w:tblCellMar>
      </w:tblPr>
      <w:tblGrid>
        <w:gridCol w:w="706"/>
        <w:gridCol w:w="1153"/>
        <w:gridCol w:w="1483"/>
        <w:gridCol w:w="1834"/>
        <w:gridCol w:w="1733"/>
        <w:gridCol w:w="1610"/>
      </w:tblGrid>
      <w:tr>
        <w:tblPrEx>
          <w:tblCellMar>
            <w:top w:w="0" w:type="dxa"/>
            <w:left w:w="108" w:type="dxa"/>
            <w:bottom w:w="0" w:type="dxa"/>
            <w:right w:w="108" w:type="dxa"/>
          </w:tblCellMar>
        </w:tblPrEx>
        <w:trPr>
          <w:trHeight w:val="567" w:hRule="atLeast"/>
        </w:trPr>
        <w:tc>
          <w:tcPr>
            <w:tcW w:w="41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序号</w:t>
            </w:r>
          </w:p>
        </w:tc>
        <w:tc>
          <w:tcPr>
            <w:tcW w:w="676"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名称</w:t>
            </w:r>
          </w:p>
        </w:tc>
        <w:tc>
          <w:tcPr>
            <w:tcW w:w="870"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单位</w:t>
            </w:r>
          </w:p>
        </w:tc>
        <w:tc>
          <w:tcPr>
            <w:tcW w:w="1076"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年消耗量</w:t>
            </w:r>
          </w:p>
        </w:tc>
        <w:tc>
          <w:tcPr>
            <w:tcW w:w="1017"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单价</w:t>
            </w:r>
            <w:r>
              <w:rPr>
                <w:rFonts w:ascii="宋体" w:hAnsi="宋体" w:cs="宋体"/>
                <w:color w:val="auto"/>
                <w:kern w:val="0"/>
                <w:sz w:val="20"/>
                <w:szCs w:val="20"/>
                <w:highlight w:val="none"/>
              </w:rPr>
              <w:t>/</w:t>
            </w:r>
            <w:r>
              <w:rPr>
                <w:rFonts w:hint="eastAsia" w:ascii="宋体" w:hAnsi="宋体" w:cs="宋体"/>
                <w:color w:val="auto"/>
                <w:kern w:val="0"/>
                <w:sz w:val="20"/>
                <w:szCs w:val="20"/>
                <w:highlight w:val="none"/>
              </w:rPr>
              <w:t>元（不含税）</w:t>
            </w:r>
          </w:p>
        </w:tc>
        <w:tc>
          <w:tcPr>
            <w:tcW w:w="945"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年成本</w:t>
            </w:r>
            <w:r>
              <w:rPr>
                <w:rFonts w:ascii="宋体" w:hAnsi="宋体" w:cs="宋体"/>
                <w:color w:val="auto"/>
                <w:kern w:val="0"/>
                <w:sz w:val="20"/>
                <w:szCs w:val="20"/>
                <w:highlight w:val="none"/>
              </w:rPr>
              <w:t>/</w:t>
            </w:r>
            <w:r>
              <w:rPr>
                <w:rFonts w:hint="eastAsia" w:ascii="宋体" w:hAnsi="宋体" w:cs="宋体"/>
                <w:color w:val="auto"/>
                <w:kern w:val="0"/>
                <w:sz w:val="20"/>
                <w:szCs w:val="20"/>
                <w:highlight w:val="none"/>
              </w:rPr>
              <w:t>万元（不含税）</w:t>
            </w:r>
          </w:p>
        </w:tc>
      </w:tr>
      <w:tr>
        <w:tblPrEx>
          <w:tblCellMar>
            <w:top w:w="0" w:type="dxa"/>
            <w:left w:w="108" w:type="dxa"/>
            <w:bottom w:w="0" w:type="dxa"/>
            <w:right w:w="108" w:type="dxa"/>
          </w:tblCellMar>
        </w:tblPrEx>
        <w:trPr>
          <w:trHeight w:val="567" w:hRule="atLeast"/>
        </w:trPr>
        <w:tc>
          <w:tcPr>
            <w:tcW w:w="41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1</w:t>
            </w:r>
          </w:p>
        </w:tc>
        <w:tc>
          <w:tcPr>
            <w:tcW w:w="676"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氯气</w:t>
            </w:r>
          </w:p>
        </w:tc>
        <w:tc>
          <w:tcPr>
            <w:tcW w:w="870"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吨</w:t>
            </w:r>
            <w:r>
              <w:rPr>
                <w:rFonts w:ascii="宋体" w:hAnsi="宋体" w:cs="宋体"/>
                <w:color w:val="auto"/>
                <w:kern w:val="0"/>
                <w:sz w:val="20"/>
                <w:szCs w:val="20"/>
                <w:highlight w:val="none"/>
              </w:rPr>
              <w:t>/</w:t>
            </w:r>
            <w:r>
              <w:rPr>
                <w:rFonts w:hint="eastAsia" w:ascii="宋体" w:hAnsi="宋体" w:cs="宋体"/>
                <w:color w:val="auto"/>
                <w:kern w:val="0"/>
                <w:sz w:val="20"/>
                <w:szCs w:val="20"/>
                <w:highlight w:val="none"/>
              </w:rPr>
              <w:t>年</w:t>
            </w:r>
          </w:p>
        </w:tc>
        <w:tc>
          <w:tcPr>
            <w:tcW w:w="183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宋体" w:hAnsi="宋体" w:cs="宋体"/>
                <w:color w:val="auto"/>
                <w:kern w:val="0"/>
                <w:sz w:val="20"/>
                <w:szCs w:val="20"/>
                <w:highlight w:val="none"/>
              </w:rPr>
            </w:pPr>
            <w:r>
              <w:rPr>
                <w:rFonts w:hint="eastAsia" w:ascii="宋体" w:hAnsi="宋体" w:cs="宋体"/>
                <w:color w:val="auto"/>
                <w:kern w:val="0"/>
                <w:sz w:val="20"/>
                <w:szCs w:val="20"/>
                <w:highlight w:val="none"/>
                <w:lang w:val="en-US" w:eastAsia="zh-CN"/>
              </w:rPr>
              <w:t>8387</w:t>
            </w:r>
          </w:p>
        </w:tc>
        <w:tc>
          <w:tcPr>
            <w:tcW w:w="17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宋体" w:hAnsi="宋体" w:cs="宋体"/>
                <w:color w:val="auto"/>
                <w:kern w:val="0"/>
                <w:sz w:val="20"/>
                <w:szCs w:val="20"/>
                <w:highlight w:val="none"/>
              </w:rPr>
            </w:pPr>
            <w:r>
              <w:rPr>
                <w:rFonts w:hint="eastAsia" w:ascii="宋体" w:hAnsi="宋体" w:cs="宋体"/>
                <w:color w:val="auto"/>
                <w:kern w:val="0"/>
                <w:sz w:val="20"/>
                <w:szCs w:val="20"/>
                <w:highlight w:val="none"/>
                <w:lang w:val="en-US" w:eastAsia="zh-CN"/>
              </w:rPr>
              <w:t>785.88</w:t>
            </w:r>
          </w:p>
        </w:tc>
        <w:tc>
          <w:tcPr>
            <w:tcW w:w="945" w:type="pct"/>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3702.68</w:t>
            </w:r>
          </w:p>
        </w:tc>
      </w:tr>
      <w:tr>
        <w:tblPrEx>
          <w:tblCellMar>
            <w:top w:w="0" w:type="dxa"/>
            <w:left w:w="108" w:type="dxa"/>
            <w:bottom w:w="0" w:type="dxa"/>
            <w:right w:w="108" w:type="dxa"/>
          </w:tblCellMar>
        </w:tblPrEx>
        <w:trPr>
          <w:trHeight w:val="567" w:hRule="atLeast"/>
        </w:trPr>
        <w:tc>
          <w:tcPr>
            <w:tcW w:w="41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2</w:t>
            </w:r>
          </w:p>
        </w:tc>
        <w:tc>
          <w:tcPr>
            <w:tcW w:w="676"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离子膜碱</w:t>
            </w:r>
          </w:p>
        </w:tc>
        <w:tc>
          <w:tcPr>
            <w:tcW w:w="870"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吨</w:t>
            </w:r>
            <w:r>
              <w:rPr>
                <w:rFonts w:ascii="宋体" w:hAnsi="宋体" w:cs="宋体"/>
                <w:color w:val="auto"/>
                <w:kern w:val="0"/>
                <w:sz w:val="20"/>
                <w:szCs w:val="20"/>
                <w:highlight w:val="none"/>
              </w:rPr>
              <w:t>/</w:t>
            </w:r>
            <w:r>
              <w:rPr>
                <w:rFonts w:hint="eastAsia" w:ascii="宋体" w:hAnsi="宋体" w:cs="宋体"/>
                <w:color w:val="auto"/>
                <w:kern w:val="0"/>
                <w:sz w:val="20"/>
                <w:szCs w:val="20"/>
                <w:highlight w:val="none"/>
              </w:rPr>
              <w:t>年</w:t>
            </w:r>
          </w:p>
        </w:tc>
        <w:tc>
          <w:tcPr>
            <w:tcW w:w="183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宋体" w:hAnsi="宋体" w:cs="宋体"/>
                <w:color w:val="auto"/>
                <w:kern w:val="0"/>
                <w:sz w:val="20"/>
                <w:szCs w:val="20"/>
                <w:highlight w:val="none"/>
              </w:rPr>
            </w:pPr>
            <w:r>
              <w:rPr>
                <w:rFonts w:hint="eastAsia" w:ascii="宋体" w:hAnsi="宋体" w:cs="宋体"/>
                <w:color w:val="auto"/>
                <w:kern w:val="0"/>
                <w:sz w:val="20"/>
                <w:szCs w:val="20"/>
                <w:highlight w:val="none"/>
                <w:lang w:val="en-US" w:eastAsia="zh-CN"/>
              </w:rPr>
              <w:t>9450</w:t>
            </w:r>
          </w:p>
        </w:tc>
        <w:tc>
          <w:tcPr>
            <w:tcW w:w="17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宋体" w:hAnsi="宋体" w:cs="宋体"/>
                <w:color w:val="auto"/>
                <w:kern w:val="0"/>
                <w:sz w:val="20"/>
                <w:szCs w:val="20"/>
                <w:highlight w:val="none"/>
              </w:rPr>
            </w:pPr>
            <w:r>
              <w:rPr>
                <w:rFonts w:hint="eastAsia" w:ascii="宋体" w:hAnsi="宋体" w:cs="宋体"/>
                <w:color w:val="auto"/>
                <w:kern w:val="0"/>
                <w:sz w:val="20"/>
                <w:szCs w:val="20"/>
                <w:highlight w:val="none"/>
                <w:lang w:val="en-US" w:eastAsia="zh-CN"/>
              </w:rPr>
              <w:t>3194.46</w:t>
            </w:r>
          </w:p>
        </w:tc>
        <w:tc>
          <w:tcPr>
            <w:tcW w:w="945"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p>
        </w:tc>
      </w:tr>
      <w:tr>
        <w:tblPrEx>
          <w:tblCellMar>
            <w:top w:w="0" w:type="dxa"/>
            <w:left w:w="108" w:type="dxa"/>
            <w:bottom w:w="0" w:type="dxa"/>
            <w:right w:w="108" w:type="dxa"/>
          </w:tblCellMar>
        </w:tblPrEx>
        <w:trPr>
          <w:trHeight w:val="567" w:hRule="atLeast"/>
        </w:trPr>
        <w:tc>
          <w:tcPr>
            <w:tcW w:w="41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3</w:t>
            </w:r>
          </w:p>
        </w:tc>
        <w:tc>
          <w:tcPr>
            <w:tcW w:w="676"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电</w:t>
            </w:r>
          </w:p>
        </w:tc>
        <w:tc>
          <w:tcPr>
            <w:tcW w:w="870"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Kwh/</w:t>
            </w:r>
            <w:r>
              <w:rPr>
                <w:rFonts w:hint="eastAsia" w:ascii="宋体" w:hAnsi="宋体" w:cs="宋体"/>
                <w:color w:val="auto"/>
                <w:kern w:val="0"/>
                <w:sz w:val="20"/>
                <w:szCs w:val="20"/>
                <w:highlight w:val="none"/>
              </w:rPr>
              <w:t>年</w:t>
            </w:r>
          </w:p>
        </w:tc>
        <w:tc>
          <w:tcPr>
            <w:tcW w:w="1076"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400000</w:t>
            </w:r>
          </w:p>
        </w:tc>
        <w:tc>
          <w:tcPr>
            <w:tcW w:w="101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0.62</w:t>
            </w:r>
          </w:p>
        </w:tc>
        <w:tc>
          <w:tcPr>
            <w:tcW w:w="945" w:type="pct"/>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p>
        </w:tc>
      </w:tr>
    </w:tbl>
    <w:p>
      <w:pPr>
        <w:pStyle w:val="32"/>
        <w:spacing w:line="560" w:lineRule="exact"/>
        <w:ind w:firstLine="31680"/>
        <w:jc w:val="center"/>
        <w:rPr>
          <w:rFonts w:ascii="宋体" w:cs="宋体"/>
          <w:color w:val="auto"/>
          <w:sz w:val="24"/>
          <w:highlight w:val="none"/>
        </w:rPr>
      </w:pPr>
      <w:r>
        <w:rPr>
          <w:rFonts w:hint="eastAsia" w:ascii="宋体" w:hAnsi="宋体" w:cs="宋体"/>
          <w:color w:val="auto"/>
          <w:sz w:val="24"/>
          <w:highlight w:val="none"/>
        </w:rPr>
        <w:t>表</w:t>
      </w:r>
      <w:r>
        <w:rPr>
          <w:rFonts w:ascii="宋体" w:hAnsi="宋体" w:cs="宋体"/>
          <w:color w:val="auto"/>
          <w:sz w:val="24"/>
          <w:highlight w:val="none"/>
        </w:rPr>
        <w:t xml:space="preserve">16-2 </w:t>
      </w:r>
      <w:r>
        <w:rPr>
          <w:rFonts w:hint="eastAsia" w:ascii="宋体" w:hAnsi="宋体" w:cs="宋体"/>
          <w:color w:val="auto"/>
          <w:sz w:val="24"/>
          <w:highlight w:val="none"/>
        </w:rPr>
        <w:t>产品销售价格及营业收入</w:t>
      </w:r>
    </w:p>
    <w:tbl>
      <w:tblPr>
        <w:tblStyle w:val="16"/>
        <w:tblW w:w="4998" w:type="pct"/>
        <w:tblInd w:w="0" w:type="dxa"/>
        <w:tblLayout w:type="fixed"/>
        <w:tblCellMar>
          <w:top w:w="0" w:type="dxa"/>
          <w:left w:w="108" w:type="dxa"/>
          <w:bottom w:w="0" w:type="dxa"/>
          <w:right w:w="108" w:type="dxa"/>
        </w:tblCellMar>
      </w:tblPr>
      <w:tblGrid>
        <w:gridCol w:w="721"/>
        <w:gridCol w:w="1132"/>
        <w:gridCol w:w="1501"/>
        <w:gridCol w:w="1803"/>
        <w:gridCol w:w="1733"/>
        <w:gridCol w:w="1629"/>
      </w:tblGrid>
      <w:tr>
        <w:tblPrEx>
          <w:tblCellMar>
            <w:top w:w="0" w:type="dxa"/>
            <w:left w:w="108" w:type="dxa"/>
            <w:bottom w:w="0" w:type="dxa"/>
            <w:right w:w="108" w:type="dxa"/>
          </w:tblCellMar>
        </w:tblPrEx>
        <w:trPr>
          <w:trHeight w:val="540" w:hRule="atLeast"/>
        </w:trPr>
        <w:tc>
          <w:tcPr>
            <w:tcW w:w="42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序号</w:t>
            </w:r>
          </w:p>
        </w:tc>
        <w:tc>
          <w:tcPr>
            <w:tcW w:w="66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名称</w:t>
            </w:r>
          </w:p>
        </w:tc>
        <w:tc>
          <w:tcPr>
            <w:tcW w:w="880"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单位</w:t>
            </w:r>
          </w:p>
        </w:tc>
        <w:tc>
          <w:tcPr>
            <w:tcW w:w="10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产量</w:t>
            </w:r>
          </w:p>
        </w:tc>
        <w:tc>
          <w:tcPr>
            <w:tcW w:w="1016" w:type="pct"/>
            <w:tcBorders>
              <w:top w:val="single" w:color="000000" w:sz="4" w:space="0"/>
              <w:left w:val="single" w:color="000000" w:sz="4" w:space="0"/>
              <w:bottom w:val="single" w:color="000000" w:sz="4" w:space="0"/>
              <w:right w:val="single" w:color="000000" w:sz="4" w:space="0"/>
            </w:tcBorders>
            <w:noWrap/>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单价</w:t>
            </w:r>
            <w:r>
              <w:rPr>
                <w:rFonts w:ascii="宋体" w:hAnsi="宋体" w:cs="宋体"/>
                <w:color w:val="auto"/>
                <w:kern w:val="0"/>
                <w:sz w:val="20"/>
                <w:szCs w:val="20"/>
                <w:highlight w:val="none"/>
              </w:rPr>
              <w:t>/</w:t>
            </w:r>
            <w:r>
              <w:rPr>
                <w:rFonts w:hint="eastAsia" w:ascii="宋体" w:hAnsi="宋体" w:cs="宋体"/>
                <w:color w:val="auto"/>
                <w:kern w:val="0"/>
                <w:sz w:val="20"/>
                <w:szCs w:val="20"/>
                <w:highlight w:val="none"/>
              </w:rPr>
              <w:t>元（不含税）</w:t>
            </w:r>
          </w:p>
        </w:tc>
        <w:tc>
          <w:tcPr>
            <w:tcW w:w="95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收入</w:t>
            </w:r>
            <w:r>
              <w:rPr>
                <w:rFonts w:ascii="宋体" w:hAnsi="宋体" w:cs="宋体"/>
                <w:color w:val="auto"/>
                <w:kern w:val="0"/>
                <w:sz w:val="20"/>
                <w:szCs w:val="20"/>
                <w:highlight w:val="none"/>
              </w:rPr>
              <w:t>/</w:t>
            </w:r>
            <w:r>
              <w:rPr>
                <w:rFonts w:hint="eastAsia" w:ascii="宋体" w:hAnsi="宋体" w:cs="宋体"/>
                <w:color w:val="auto"/>
                <w:kern w:val="0"/>
                <w:sz w:val="20"/>
                <w:szCs w:val="20"/>
                <w:highlight w:val="none"/>
              </w:rPr>
              <w:t>万元（不含税）</w:t>
            </w:r>
          </w:p>
        </w:tc>
      </w:tr>
      <w:tr>
        <w:tblPrEx>
          <w:tblCellMar>
            <w:top w:w="0" w:type="dxa"/>
            <w:left w:w="108" w:type="dxa"/>
            <w:bottom w:w="0" w:type="dxa"/>
            <w:right w:w="108" w:type="dxa"/>
          </w:tblCellMar>
        </w:tblPrEx>
        <w:trPr>
          <w:trHeight w:val="540" w:hRule="atLeast"/>
        </w:trPr>
        <w:tc>
          <w:tcPr>
            <w:tcW w:w="424"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1</w:t>
            </w:r>
          </w:p>
        </w:tc>
        <w:tc>
          <w:tcPr>
            <w:tcW w:w="66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hint="eastAsia" w:ascii="宋体" w:hAnsi="宋体" w:cs="宋体"/>
                <w:color w:val="auto"/>
                <w:kern w:val="0"/>
                <w:sz w:val="20"/>
                <w:szCs w:val="20"/>
                <w:highlight w:val="none"/>
              </w:rPr>
              <w:t>次氯酸钠</w:t>
            </w:r>
          </w:p>
        </w:tc>
        <w:tc>
          <w:tcPr>
            <w:tcW w:w="880"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t/a</w:t>
            </w:r>
          </w:p>
        </w:tc>
        <w:tc>
          <w:tcPr>
            <w:tcW w:w="1057"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80000</w:t>
            </w:r>
          </w:p>
        </w:tc>
        <w:tc>
          <w:tcPr>
            <w:tcW w:w="1016"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495.58</w:t>
            </w:r>
          </w:p>
        </w:tc>
        <w:tc>
          <w:tcPr>
            <w:tcW w:w="955" w:type="pc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auto"/>
                <w:kern w:val="0"/>
                <w:sz w:val="20"/>
                <w:szCs w:val="20"/>
                <w:highlight w:val="none"/>
              </w:rPr>
            </w:pPr>
            <w:r>
              <w:rPr>
                <w:rFonts w:ascii="宋体" w:hAnsi="宋体" w:cs="宋体"/>
                <w:color w:val="auto"/>
                <w:kern w:val="0"/>
                <w:sz w:val="20"/>
                <w:szCs w:val="20"/>
                <w:highlight w:val="none"/>
              </w:rPr>
              <w:t xml:space="preserve">3964.60 </w:t>
            </w:r>
          </w:p>
        </w:tc>
      </w:tr>
    </w:tbl>
    <w:p>
      <w:pPr>
        <w:pStyle w:val="32"/>
        <w:spacing w:line="560" w:lineRule="exact"/>
        <w:ind w:firstLine="31680"/>
        <w:jc w:val="left"/>
        <w:outlineLvl w:val="1"/>
        <w:rPr>
          <w:rFonts w:ascii="宋体" w:cs="宋体"/>
          <w:color w:val="auto"/>
          <w:sz w:val="28"/>
          <w:szCs w:val="28"/>
          <w:highlight w:val="none"/>
        </w:rPr>
      </w:pPr>
      <w:bookmarkStart w:id="1495" w:name="_Toc16112"/>
      <w:r>
        <w:rPr>
          <w:rFonts w:ascii="宋体" w:hAnsi="宋体" w:cs="宋体"/>
          <w:color w:val="auto"/>
          <w:sz w:val="28"/>
          <w:szCs w:val="28"/>
          <w:highlight w:val="none"/>
        </w:rPr>
        <w:t>2</w:t>
      </w:r>
      <w:r>
        <w:rPr>
          <w:rFonts w:hint="eastAsia" w:ascii="宋体" w:hAnsi="宋体" w:cs="宋体"/>
          <w:color w:val="auto"/>
          <w:sz w:val="28"/>
          <w:szCs w:val="28"/>
          <w:highlight w:val="none"/>
        </w:rPr>
        <w:t>）税金</w:t>
      </w:r>
      <w:bookmarkEnd w:id="1495"/>
    </w:p>
    <w:p>
      <w:pPr>
        <w:pStyle w:val="32"/>
        <w:spacing w:line="560" w:lineRule="exact"/>
        <w:ind w:firstLine="31680"/>
        <w:jc w:val="left"/>
        <w:outlineLvl w:val="1"/>
        <w:rPr>
          <w:rFonts w:ascii="宋体" w:cs="宋体"/>
          <w:color w:val="auto"/>
          <w:sz w:val="28"/>
          <w:szCs w:val="28"/>
          <w:highlight w:val="none"/>
        </w:rPr>
      </w:pPr>
      <w:bookmarkStart w:id="1496" w:name="_Toc28546"/>
      <w:r>
        <w:rPr>
          <w:rFonts w:hint="eastAsia" w:ascii="宋体" w:hAnsi="宋体" w:cs="宋体"/>
          <w:color w:val="auto"/>
          <w:sz w:val="28"/>
          <w:szCs w:val="28"/>
          <w:highlight w:val="none"/>
        </w:rPr>
        <w:t>增值税：</w:t>
      </w:r>
      <w:r>
        <w:rPr>
          <w:rFonts w:ascii="宋体" w:hAnsi="宋体" w:cs="宋体"/>
          <w:color w:val="auto"/>
          <w:sz w:val="28"/>
          <w:szCs w:val="28"/>
          <w:highlight w:val="none"/>
        </w:rPr>
        <w:t>13%</w:t>
      </w:r>
      <w:r>
        <w:rPr>
          <w:rFonts w:hint="eastAsia" w:ascii="宋体" w:hAnsi="宋体" w:cs="宋体"/>
          <w:color w:val="auto"/>
          <w:sz w:val="28"/>
          <w:szCs w:val="28"/>
          <w:highlight w:val="none"/>
        </w:rPr>
        <w:t>。</w:t>
      </w:r>
      <w:bookmarkEnd w:id="1496"/>
    </w:p>
    <w:p>
      <w:pPr>
        <w:pStyle w:val="32"/>
        <w:spacing w:line="560" w:lineRule="exact"/>
        <w:ind w:firstLine="31680"/>
        <w:jc w:val="left"/>
        <w:outlineLvl w:val="1"/>
        <w:rPr>
          <w:rFonts w:ascii="宋体" w:cs="宋体"/>
          <w:color w:val="auto"/>
          <w:sz w:val="28"/>
          <w:szCs w:val="28"/>
          <w:highlight w:val="none"/>
        </w:rPr>
      </w:pPr>
      <w:bookmarkStart w:id="1497" w:name="_Toc15611"/>
      <w:r>
        <w:rPr>
          <w:rFonts w:hint="eastAsia" w:ascii="宋体" w:hAnsi="宋体" w:cs="宋体"/>
          <w:color w:val="auto"/>
          <w:sz w:val="28"/>
          <w:szCs w:val="28"/>
          <w:highlight w:val="none"/>
          <w:lang w:val="en-GB"/>
        </w:rPr>
        <w:t>附加税：其中城建税按增值税</w:t>
      </w:r>
      <w:r>
        <w:rPr>
          <w:rFonts w:ascii="宋体" w:hAnsi="宋体" w:cs="宋体"/>
          <w:color w:val="auto"/>
          <w:sz w:val="28"/>
          <w:szCs w:val="28"/>
          <w:highlight w:val="none"/>
        </w:rPr>
        <w:t>7</w:t>
      </w:r>
      <w:r>
        <w:rPr>
          <w:rFonts w:ascii="宋体" w:hAnsi="宋体" w:cs="宋体"/>
          <w:color w:val="auto"/>
          <w:sz w:val="28"/>
          <w:szCs w:val="28"/>
          <w:highlight w:val="none"/>
          <w:lang w:val="en-GB"/>
        </w:rPr>
        <w:t>%</w:t>
      </w:r>
      <w:r>
        <w:rPr>
          <w:rFonts w:hint="eastAsia" w:ascii="宋体" w:hAnsi="宋体" w:cs="宋体"/>
          <w:color w:val="auto"/>
          <w:sz w:val="28"/>
          <w:szCs w:val="28"/>
          <w:highlight w:val="none"/>
          <w:lang w:val="en-GB"/>
        </w:rPr>
        <w:t>，教育税按增值税</w:t>
      </w:r>
      <w:r>
        <w:rPr>
          <w:rFonts w:ascii="宋体" w:hAnsi="宋体" w:cs="宋体"/>
          <w:color w:val="auto"/>
          <w:sz w:val="28"/>
          <w:szCs w:val="28"/>
          <w:highlight w:val="none"/>
        </w:rPr>
        <w:t>5</w:t>
      </w:r>
      <w:r>
        <w:rPr>
          <w:rFonts w:ascii="宋体" w:hAnsi="宋体" w:cs="宋体"/>
          <w:color w:val="auto"/>
          <w:sz w:val="28"/>
          <w:szCs w:val="28"/>
          <w:highlight w:val="none"/>
          <w:lang w:val="en-GB"/>
        </w:rPr>
        <w:t>%</w:t>
      </w:r>
      <w:r>
        <w:rPr>
          <w:rFonts w:hint="eastAsia" w:ascii="宋体" w:hAnsi="宋体" w:cs="宋体"/>
          <w:color w:val="auto"/>
          <w:sz w:val="28"/>
          <w:szCs w:val="28"/>
          <w:highlight w:val="none"/>
          <w:lang w:val="en-GB"/>
        </w:rPr>
        <w:t>计。</w:t>
      </w:r>
      <w:bookmarkEnd w:id="1497"/>
    </w:p>
    <w:p>
      <w:pPr>
        <w:pStyle w:val="32"/>
        <w:spacing w:line="560" w:lineRule="exact"/>
        <w:ind w:firstLine="31680"/>
        <w:jc w:val="left"/>
        <w:outlineLvl w:val="1"/>
        <w:rPr>
          <w:rFonts w:ascii="宋体" w:cs="宋体"/>
          <w:color w:val="auto"/>
          <w:sz w:val="28"/>
          <w:szCs w:val="28"/>
          <w:highlight w:val="none"/>
        </w:rPr>
      </w:pPr>
      <w:bookmarkStart w:id="1498" w:name="_Toc7029"/>
      <w:r>
        <w:rPr>
          <w:rFonts w:hint="eastAsia" w:ascii="宋体" w:hAnsi="宋体" w:cs="宋体"/>
          <w:color w:val="auto"/>
          <w:sz w:val="28"/>
          <w:szCs w:val="28"/>
          <w:highlight w:val="none"/>
          <w:lang w:val="en-GB"/>
        </w:rPr>
        <w:t>所得税：</w:t>
      </w:r>
      <w:r>
        <w:rPr>
          <w:rFonts w:ascii="宋体" w:hAnsi="宋体" w:cs="宋体"/>
          <w:color w:val="auto"/>
          <w:sz w:val="28"/>
          <w:szCs w:val="28"/>
          <w:highlight w:val="none"/>
          <w:lang w:val="en-GB"/>
        </w:rPr>
        <w:t>25 %</w:t>
      </w:r>
      <w:bookmarkEnd w:id="1498"/>
    </w:p>
    <w:p>
      <w:pPr>
        <w:pStyle w:val="32"/>
        <w:spacing w:line="560" w:lineRule="exact"/>
        <w:ind w:firstLine="31680"/>
        <w:jc w:val="left"/>
        <w:outlineLvl w:val="1"/>
        <w:rPr>
          <w:rFonts w:ascii="宋体" w:cs="宋体"/>
          <w:color w:val="auto"/>
          <w:sz w:val="28"/>
          <w:szCs w:val="28"/>
          <w:highlight w:val="none"/>
        </w:rPr>
      </w:pPr>
      <w:bookmarkStart w:id="1499" w:name="_Toc15879"/>
      <w:bookmarkStart w:id="1500" w:name="_Toc23339"/>
      <w:r>
        <w:rPr>
          <w:rFonts w:ascii="宋体" w:hAnsi="宋体" w:cs="宋体"/>
          <w:color w:val="auto"/>
          <w:sz w:val="28"/>
          <w:szCs w:val="28"/>
          <w:highlight w:val="none"/>
        </w:rPr>
        <w:t>16.3.4</w:t>
      </w:r>
      <w:r>
        <w:rPr>
          <w:rFonts w:hint="eastAsia" w:ascii="宋体" w:hAnsi="宋体" w:cs="宋体"/>
          <w:color w:val="auto"/>
          <w:sz w:val="28"/>
          <w:szCs w:val="28"/>
          <w:highlight w:val="none"/>
        </w:rPr>
        <w:t>主要效益指标估算</w:t>
      </w:r>
      <w:bookmarkEnd w:id="1499"/>
      <w:bookmarkEnd w:id="1500"/>
    </w:p>
    <w:p>
      <w:pPr>
        <w:pStyle w:val="32"/>
        <w:spacing w:line="560" w:lineRule="exact"/>
        <w:ind w:firstLine="31680"/>
        <w:jc w:val="left"/>
        <w:outlineLvl w:val="1"/>
        <w:rPr>
          <w:rFonts w:ascii="宋体" w:cs="宋体"/>
          <w:color w:val="auto"/>
          <w:sz w:val="28"/>
          <w:szCs w:val="28"/>
          <w:highlight w:val="none"/>
        </w:rPr>
      </w:pPr>
      <w:bookmarkStart w:id="1501" w:name="_Toc9280"/>
      <w:r>
        <w:rPr>
          <w:rFonts w:ascii="宋体" w:hAnsi="宋体" w:cs="宋体"/>
          <w:color w:val="auto"/>
          <w:sz w:val="28"/>
          <w:szCs w:val="28"/>
          <w:highlight w:val="none"/>
        </w:rPr>
        <w:t>1</w:t>
      </w:r>
      <w:r>
        <w:rPr>
          <w:rFonts w:hint="eastAsia" w:ascii="宋体" w:hAnsi="宋体" w:cs="宋体"/>
          <w:color w:val="auto"/>
          <w:sz w:val="28"/>
          <w:szCs w:val="28"/>
          <w:highlight w:val="none"/>
        </w:rPr>
        <w:t>）年平均销售收入</w:t>
      </w:r>
      <w:r>
        <w:rPr>
          <w:rFonts w:ascii="宋体" w:hAnsi="宋体" w:cs="宋体"/>
          <w:color w:val="auto"/>
          <w:sz w:val="28"/>
          <w:szCs w:val="28"/>
          <w:highlight w:val="none"/>
        </w:rPr>
        <w:t xml:space="preserve">             3832.49</w:t>
      </w:r>
      <w:r>
        <w:rPr>
          <w:rFonts w:hint="eastAsia" w:ascii="宋体" w:hAnsi="宋体" w:cs="宋体"/>
          <w:color w:val="auto"/>
          <w:sz w:val="28"/>
          <w:szCs w:val="28"/>
          <w:highlight w:val="none"/>
        </w:rPr>
        <w:t>万元</w:t>
      </w:r>
      <w:bookmarkEnd w:id="1501"/>
    </w:p>
    <w:p>
      <w:pPr>
        <w:pStyle w:val="32"/>
        <w:spacing w:line="560" w:lineRule="exact"/>
        <w:ind w:firstLine="31680"/>
        <w:jc w:val="left"/>
        <w:outlineLvl w:val="1"/>
        <w:rPr>
          <w:rFonts w:ascii="宋体" w:cs="宋体"/>
          <w:color w:val="auto"/>
          <w:sz w:val="28"/>
          <w:szCs w:val="28"/>
          <w:highlight w:val="none"/>
        </w:rPr>
      </w:pPr>
      <w:bookmarkStart w:id="1502" w:name="_Toc12288"/>
      <w:r>
        <w:rPr>
          <w:rFonts w:ascii="宋体" w:hAnsi="宋体" w:cs="宋体"/>
          <w:color w:val="auto"/>
          <w:sz w:val="28"/>
          <w:szCs w:val="28"/>
          <w:highlight w:val="none"/>
        </w:rPr>
        <w:t>2</w:t>
      </w:r>
      <w:r>
        <w:rPr>
          <w:rFonts w:hint="eastAsia" w:ascii="宋体" w:hAnsi="宋体" w:cs="宋体"/>
          <w:color w:val="auto"/>
          <w:sz w:val="28"/>
          <w:szCs w:val="28"/>
          <w:highlight w:val="none"/>
        </w:rPr>
        <w:t>）年平均总成本</w:t>
      </w:r>
      <w:r>
        <w:rPr>
          <w:rFonts w:ascii="宋体" w:hAnsi="宋体" w:cs="宋体"/>
          <w:color w:val="auto"/>
          <w:sz w:val="28"/>
          <w:szCs w:val="28"/>
          <w:highlight w:val="none"/>
        </w:rPr>
        <w:t xml:space="preserve">               3708.90</w:t>
      </w:r>
      <w:r>
        <w:rPr>
          <w:rFonts w:hint="eastAsia" w:ascii="宋体" w:hAnsi="宋体" w:cs="宋体"/>
          <w:color w:val="auto"/>
          <w:sz w:val="28"/>
          <w:szCs w:val="28"/>
          <w:highlight w:val="none"/>
        </w:rPr>
        <w:t>万元</w:t>
      </w:r>
      <w:bookmarkEnd w:id="1502"/>
    </w:p>
    <w:p>
      <w:pPr>
        <w:pStyle w:val="32"/>
        <w:spacing w:line="560" w:lineRule="exact"/>
        <w:ind w:firstLine="31680"/>
        <w:jc w:val="left"/>
        <w:outlineLvl w:val="1"/>
        <w:rPr>
          <w:rFonts w:ascii="宋体" w:cs="宋体"/>
          <w:color w:val="auto"/>
          <w:sz w:val="28"/>
          <w:szCs w:val="28"/>
          <w:highlight w:val="none"/>
        </w:rPr>
      </w:pPr>
      <w:bookmarkStart w:id="1503" w:name="_Toc6382"/>
      <w:r>
        <w:rPr>
          <w:rFonts w:ascii="宋体" w:hAnsi="宋体" w:cs="宋体"/>
          <w:color w:val="auto"/>
          <w:sz w:val="28"/>
          <w:szCs w:val="28"/>
          <w:highlight w:val="none"/>
        </w:rPr>
        <w:t>3</w:t>
      </w:r>
      <w:r>
        <w:rPr>
          <w:rFonts w:hint="eastAsia" w:ascii="宋体" w:hAnsi="宋体" w:cs="宋体"/>
          <w:color w:val="auto"/>
          <w:sz w:val="28"/>
          <w:szCs w:val="28"/>
          <w:highlight w:val="none"/>
        </w:rPr>
        <w:t>）年平均销售税金及附加税</w:t>
      </w:r>
      <w:r>
        <w:rPr>
          <w:rFonts w:ascii="宋体" w:hAnsi="宋体" w:cs="宋体"/>
          <w:color w:val="auto"/>
          <w:sz w:val="28"/>
          <w:szCs w:val="28"/>
          <w:highlight w:val="none"/>
        </w:rPr>
        <w:t xml:space="preserve">     3.38 </w:t>
      </w:r>
      <w:r>
        <w:rPr>
          <w:rFonts w:hint="eastAsia" w:ascii="宋体" w:hAnsi="宋体" w:cs="宋体"/>
          <w:color w:val="auto"/>
          <w:sz w:val="28"/>
          <w:szCs w:val="28"/>
          <w:highlight w:val="none"/>
        </w:rPr>
        <w:t>万元</w:t>
      </w:r>
      <w:bookmarkEnd w:id="1503"/>
    </w:p>
    <w:p>
      <w:pPr>
        <w:pStyle w:val="32"/>
        <w:spacing w:line="560" w:lineRule="exact"/>
        <w:ind w:firstLine="31680"/>
        <w:jc w:val="left"/>
        <w:outlineLvl w:val="1"/>
        <w:rPr>
          <w:rFonts w:ascii="宋体" w:cs="宋体"/>
          <w:color w:val="auto"/>
          <w:sz w:val="28"/>
          <w:szCs w:val="28"/>
          <w:highlight w:val="none"/>
        </w:rPr>
      </w:pPr>
      <w:bookmarkStart w:id="1504" w:name="_Toc9030"/>
      <w:r>
        <w:rPr>
          <w:rFonts w:ascii="宋体" w:hAnsi="宋体" w:cs="宋体"/>
          <w:color w:val="auto"/>
          <w:sz w:val="28"/>
          <w:szCs w:val="28"/>
          <w:highlight w:val="none"/>
        </w:rPr>
        <w:t>4</w:t>
      </w:r>
      <w:r>
        <w:rPr>
          <w:rFonts w:hint="eastAsia" w:ascii="宋体" w:hAnsi="宋体" w:cs="宋体"/>
          <w:color w:val="auto"/>
          <w:sz w:val="28"/>
          <w:szCs w:val="28"/>
          <w:highlight w:val="none"/>
        </w:rPr>
        <w:t>）年均增值税</w:t>
      </w:r>
      <w:r>
        <w:rPr>
          <w:rFonts w:ascii="宋体" w:hAnsi="宋体" w:cs="宋体"/>
          <w:color w:val="auto"/>
          <w:sz w:val="28"/>
          <w:szCs w:val="28"/>
          <w:highlight w:val="none"/>
        </w:rPr>
        <w:t xml:space="preserve">                 28.17 </w:t>
      </w:r>
      <w:r>
        <w:rPr>
          <w:rFonts w:hint="eastAsia" w:ascii="宋体" w:hAnsi="宋体" w:cs="宋体"/>
          <w:color w:val="auto"/>
          <w:sz w:val="28"/>
          <w:szCs w:val="28"/>
          <w:highlight w:val="none"/>
        </w:rPr>
        <w:t>万元</w:t>
      </w:r>
      <w:bookmarkEnd w:id="1504"/>
    </w:p>
    <w:p>
      <w:pPr>
        <w:pStyle w:val="32"/>
        <w:spacing w:line="560" w:lineRule="exact"/>
        <w:ind w:firstLine="31680"/>
        <w:jc w:val="left"/>
        <w:outlineLvl w:val="1"/>
        <w:rPr>
          <w:rFonts w:ascii="宋体" w:cs="宋体"/>
          <w:color w:val="auto"/>
          <w:sz w:val="28"/>
          <w:szCs w:val="28"/>
          <w:highlight w:val="none"/>
        </w:rPr>
      </w:pPr>
      <w:bookmarkStart w:id="1505" w:name="_Toc14274"/>
      <w:r>
        <w:rPr>
          <w:rFonts w:ascii="宋体" w:hAnsi="宋体" w:cs="宋体"/>
          <w:color w:val="auto"/>
          <w:sz w:val="28"/>
          <w:szCs w:val="28"/>
          <w:highlight w:val="none"/>
        </w:rPr>
        <w:t>5</w:t>
      </w:r>
      <w:r>
        <w:rPr>
          <w:rFonts w:hint="eastAsia" w:ascii="宋体" w:hAnsi="宋体" w:cs="宋体"/>
          <w:color w:val="auto"/>
          <w:sz w:val="28"/>
          <w:szCs w:val="28"/>
          <w:highlight w:val="none"/>
        </w:rPr>
        <w:t>）年均息税前利润（</w:t>
      </w:r>
      <w:r>
        <w:rPr>
          <w:rFonts w:ascii="宋体" w:hAnsi="宋体" w:cs="宋体"/>
          <w:color w:val="auto"/>
          <w:sz w:val="28"/>
          <w:szCs w:val="28"/>
          <w:highlight w:val="none"/>
        </w:rPr>
        <w:t>EBIT</w:t>
      </w:r>
      <w:r>
        <w:rPr>
          <w:rFonts w:hint="eastAsia" w:ascii="宋体" w:hAnsi="宋体" w:cs="宋体"/>
          <w:color w:val="auto"/>
          <w:sz w:val="28"/>
          <w:szCs w:val="28"/>
          <w:highlight w:val="none"/>
        </w:rPr>
        <w:t>）</w:t>
      </w:r>
      <w:r>
        <w:rPr>
          <w:rFonts w:ascii="宋体" w:hAnsi="宋体" w:cs="宋体"/>
          <w:color w:val="auto"/>
          <w:sz w:val="28"/>
          <w:szCs w:val="28"/>
          <w:highlight w:val="none"/>
        </w:rPr>
        <w:t xml:space="preserve">     120.20</w:t>
      </w:r>
      <w:r>
        <w:rPr>
          <w:rFonts w:hint="eastAsia" w:ascii="宋体" w:hAnsi="宋体" w:cs="宋体"/>
          <w:color w:val="auto"/>
          <w:sz w:val="28"/>
          <w:szCs w:val="28"/>
          <w:highlight w:val="none"/>
        </w:rPr>
        <w:t>万元</w:t>
      </w:r>
      <w:bookmarkEnd w:id="1505"/>
    </w:p>
    <w:p>
      <w:pPr>
        <w:pStyle w:val="32"/>
        <w:spacing w:line="560" w:lineRule="exact"/>
        <w:ind w:firstLine="31680"/>
        <w:jc w:val="left"/>
        <w:rPr>
          <w:rFonts w:ascii="宋体" w:hAnsi="宋体" w:cs="宋体"/>
          <w:color w:val="auto"/>
          <w:sz w:val="28"/>
          <w:szCs w:val="28"/>
          <w:highlight w:val="none"/>
        </w:rPr>
      </w:pPr>
      <w:r>
        <w:rPr>
          <w:rFonts w:ascii="宋体" w:hAnsi="宋体" w:cs="宋体"/>
          <w:color w:val="auto"/>
          <w:sz w:val="28"/>
          <w:szCs w:val="28"/>
          <w:highlight w:val="none"/>
        </w:rPr>
        <w:t>6</w:t>
      </w:r>
      <w:r>
        <w:rPr>
          <w:rFonts w:hint="eastAsia" w:ascii="宋体" w:hAnsi="宋体" w:cs="宋体"/>
          <w:color w:val="auto"/>
          <w:sz w:val="28"/>
          <w:szCs w:val="28"/>
          <w:highlight w:val="none"/>
        </w:rPr>
        <w:t>）总投资收益率（</w:t>
      </w:r>
      <w:r>
        <w:rPr>
          <w:rFonts w:ascii="宋体" w:hAnsi="宋体" w:cs="宋体"/>
          <w:color w:val="auto"/>
          <w:sz w:val="28"/>
          <w:szCs w:val="28"/>
          <w:highlight w:val="none"/>
        </w:rPr>
        <w:t>%</w:t>
      </w:r>
      <w:r>
        <w:rPr>
          <w:rFonts w:hint="eastAsia" w:ascii="宋体" w:hAnsi="宋体" w:cs="宋体"/>
          <w:color w:val="auto"/>
          <w:sz w:val="28"/>
          <w:szCs w:val="28"/>
          <w:highlight w:val="none"/>
        </w:rPr>
        <w:t>）</w:t>
      </w:r>
      <w:r>
        <w:rPr>
          <w:rFonts w:ascii="宋体" w:hAnsi="宋体" w:cs="宋体"/>
          <w:color w:val="auto"/>
          <w:sz w:val="28"/>
          <w:szCs w:val="28"/>
          <w:highlight w:val="none"/>
        </w:rPr>
        <w:t xml:space="preserve">          26.71 %</w:t>
      </w:r>
    </w:p>
    <w:p>
      <w:pPr>
        <w:pStyle w:val="32"/>
        <w:spacing w:line="560" w:lineRule="exact"/>
        <w:ind w:firstLine="31680"/>
        <w:jc w:val="left"/>
        <w:rPr>
          <w:rFonts w:ascii="宋体" w:hAnsi="宋体" w:cs="宋体"/>
          <w:color w:val="auto"/>
          <w:sz w:val="28"/>
          <w:szCs w:val="28"/>
          <w:highlight w:val="none"/>
        </w:rPr>
      </w:pPr>
      <w:r>
        <w:rPr>
          <w:rFonts w:ascii="宋体" w:hAnsi="宋体" w:cs="宋体"/>
          <w:color w:val="auto"/>
          <w:sz w:val="28"/>
          <w:szCs w:val="28"/>
          <w:highlight w:val="none"/>
        </w:rPr>
        <w:t>7</w:t>
      </w:r>
      <w:r>
        <w:rPr>
          <w:rFonts w:hint="eastAsia" w:ascii="宋体" w:hAnsi="宋体" w:cs="宋体"/>
          <w:color w:val="auto"/>
          <w:sz w:val="28"/>
          <w:szCs w:val="28"/>
          <w:highlight w:val="none"/>
        </w:rPr>
        <w:t>）投资利税率（</w:t>
      </w:r>
      <w:r>
        <w:rPr>
          <w:rFonts w:ascii="宋体" w:hAnsi="宋体" w:cs="宋体"/>
          <w:color w:val="auto"/>
          <w:sz w:val="28"/>
          <w:szCs w:val="28"/>
          <w:highlight w:val="none"/>
        </w:rPr>
        <w:t>%</w:t>
      </w:r>
      <w:r>
        <w:rPr>
          <w:rFonts w:hint="eastAsia" w:ascii="宋体" w:hAnsi="宋体" w:cs="宋体"/>
          <w:color w:val="auto"/>
          <w:sz w:val="28"/>
          <w:szCs w:val="28"/>
          <w:highlight w:val="none"/>
        </w:rPr>
        <w:t>）</w:t>
      </w:r>
      <w:r>
        <w:rPr>
          <w:rFonts w:ascii="宋体" w:hAnsi="宋体" w:cs="宋体"/>
          <w:color w:val="auto"/>
          <w:sz w:val="28"/>
          <w:szCs w:val="28"/>
          <w:highlight w:val="none"/>
        </w:rPr>
        <w:t xml:space="preserve">            33.72 %</w:t>
      </w:r>
    </w:p>
    <w:p>
      <w:pPr>
        <w:pStyle w:val="32"/>
        <w:spacing w:line="560" w:lineRule="exact"/>
        <w:ind w:firstLine="31680"/>
        <w:jc w:val="left"/>
        <w:outlineLvl w:val="2"/>
        <w:rPr>
          <w:rFonts w:ascii="宋体" w:cs="宋体"/>
          <w:color w:val="auto"/>
          <w:sz w:val="28"/>
          <w:szCs w:val="28"/>
          <w:highlight w:val="none"/>
        </w:rPr>
      </w:pPr>
      <w:r>
        <w:rPr>
          <w:rFonts w:ascii="宋体" w:hAnsi="宋体" w:cs="宋体"/>
          <w:color w:val="auto"/>
          <w:sz w:val="28"/>
          <w:szCs w:val="28"/>
          <w:highlight w:val="none"/>
        </w:rPr>
        <w:t>16.3.5</w:t>
      </w:r>
      <w:r>
        <w:rPr>
          <w:rFonts w:hint="eastAsia"/>
          <w:color w:val="auto"/>
          <w:sz w:val="28"/>
          <w:szCs w:val="28"/>
          <w:highlight w:val="none"/>
        </w:rPr>
        <w:t>项目盈利能力指标</w:t>
      </w:r>
    </w:p>
    <w:tbl>
      <w:tblPr>
        <w:tblStyle w:val="1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6"/>
        <w:gridCol w:w="3018"/>
        <w:gridCol w:w="1375"/>
        <w:gridCol w:w="1812"/>
        <w:gridCol w:w="18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76" w:type="dxa"/>
            <w:vMerge w:val="restart"/>
            <w:vAlign w:val="center"/>
          </w:tcPr>
          <w:p>
            <w:pPr>
              <w:spacing w:line="360" w:lineRule="auto"/>
              <w:jc w:val="center"/>
              <w:rPr>
                <w:rFonts w:ascii="宋体" w:cs="宋体"/>
                <w:color w:val="auto"/>
                <w:szCs w:val="21"/>
                <w:highlight w:val="none"/>
              </w:rPr>
            </w:pPr>
            <w:r>
              <w:rPr>
                <w:rFonts w:hint="eastAsia" w:ascii="宋体" w:hAnsi="宋体" w:cs="宋体"/>
                <w:color w:val="auto"/>
                <w:szCs w:val="21"/>
                <w:highlight w:val="none"/>
              </w:rPr>
              <w:t>序号</w:t>
            </w:r>
          </w:p>
        </w:tc>
        <w:tc>
          <w:tcPr>
            <w:tcW w:w="3018" w:type="dxa"/>
            <w:vMerge w:val="restart"/>
            <w:vAlign w:val="center"/>
          </w:tcPr>
          <w:p>
            <w:pPr>
              <w:spacing w:line="360" w:lineRule="auto"/>
              <w:jc w:val="center"/>
              <w:rPr>
                <w:rFonts w:ascii="宋体" w:cs="宋体"/>
                <w:color w:val="auto"/>
                <w:szCs w:val="21"/>
                <w:highlight w:val="none"/>
              </w:rPr>
            </w:pPr>
            <w:r>
              <w:rPr>
                <w:rFonts w:hint="eastAsia" w:ascii="宋体" w:hAnsi="宋体" w:cs="宋体"/>
                <w:color w:val="auto"/>
                <w:szCs w:val="21"/>
                <w:highlight w:val="none"/>
              </w:rPr>
              <w:t>指标名称</w:t>
            </w:r>
          </w:p>
        </w:tc>
        <w:tc>
          <w:tcPr>
            <w:tcW w:w="1375" w:type="dxa"/>
            <w:vMerge w:val="restart"/>
            <w:vAlign w:val="center"/>
          </w:tcPr>
          <w:p>
            <w:pPr>
              <w:spacing w:line="360" w:lineRule="auto"/>
              <w:jc w:val="center"/>
              <w:rPr>
                <w:rFonts w:ascii="宋体" w:cs="宋体"/>
                <w:color w:val="auto"/>
                <w:szCs w:val="21"/>
                <w:highlight w:val="none"/>
              </w:rPr>
            </w:pPr>
            <w:r>
              <w:rPr>
                <w:rFonts w:hint="eastAsia" w:ascii="宋体" w:hAnsi="宋体" w:cs="宋体"/>
                <w:color w:val="auto"/>
                <w:szCs w:val="21"/>
                <w:highlight w:val="none"/>
              </w:rPr>
              <w:t>单位</w:t>
            </w:r>
          </w:p>
        </w:tc>
        <w:tc>
          <w:tcPr>
            <w:tcW w:w="3624" w:type="dxa"/>
            <w:gridSpan w:val="2"/>
            <w:vAlign w:val="center"/>
          </w:tcPr>
          <w:p>
            <w:pPr>
              <w:jc w:val="center"/>
              <w:rPr>
                <w:rFonts w:ascii="宋体" w:cs="宋体"/>
                <w:color w:val="auto"/>
                <w:szCs w:val="21"/>
                <w:highlight w:val="none"/>
              </w:rPr>
            </w:pPr>
            <w:r>
              <w:rPr>
                <w:rFonts w:hint="eastAsia" w:ascii="宋体" w:hAnsi="宋体" w:cs="宋体"/>
                <w:color w:val="auto"/>
                <w:szCs w:val="21"/>
                <w:highlight w:val="none"/>
              </w:rPr>
              <w:t>指标值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76" w:type="dxa"/>
            <w:vMerge w:val="continue"/>
          </w:tcPr>
          <w:p>
            <w:pPr>
              <w:spacing w:line="480" w:lineRule="exact"/>
              <w:jc w:val="center"/>
              <w:rPr>
                <w:rFonts w:ascii="宋体" w:cs="宋体"/>
                <w:color w:val="auto"/>
                <w:szCs w:val="21"/>
                <w:highlight w:val="none"/>
              </w:rPr>
            </w:pPr>
          </w:p>
        </w:tc>
        <w:tc>
          <w:tcPr>
            <w:tcW w:w="3018" w:type="dxa"/>
            <w:vMerge w:val="continue"/>
          </w:tcPr>
          <w:p>
            <w:pPr>
              <w:spacing w:line="480" w:lineRule="exact"/>
              <w:jc w:val="center"/>
              <w:rPr>
                <w:rFonts w:ascii="宋体" w:cs="宋体"/>
                <w:color w:val="auto"/>
                <w:szCs w:val="21"/>
                <w:highlight w:val="none"/>
              </w:rPr>
            </w:pPr>
          </w:p>
        </w:tc>
        <w:tc>
          <w:tcPr>
            <w:tcW w:w="1375" w:type="dxa"/>
            <w:vMerge w:val="continue"/>
          </w:tcPr>
          <w:p>
            <w:pPr>
              <w:spacing w:line="480" w:lineRule="exact"/>
              <w:jc w:val="center"/>
              <w:rPr>
                <w:rFonts w:ascii="宋体" w:cs="宋体"/>
                <w:color w:val="auto"/>
                <w:szCs w:val="21"/>
                <w:highlight w:val="none"/>
              </w:rPr>
            </w:pPr>
          </w:p>
        </w:tc>
        <w:tc>
          <w:tcPr>
            <w:tcW w:w="1812" w:type="dxa"/>
            <w:vAlign w:val="center"/>
          </w:tcPr>
          <w:p>
            <w:pPr>
              <w:spacing w:line="360" w:lineRule="auto"/>
              <w:jc w:val="center"/>
              <w:rPr>
                <w:rFonts w:ascii="宋体" w:cs="宋体"/>
                <w:color w:val="auto"/>
                <w:szCs w:val="21"/>
                <w:highlight w:val="none"/>
              </w:rPr>
            </w:pPr>
            <w:r>
              <w:rPr>
                <w:rFonts w:hint="eastAsia" w:ascii="宋体" w:hAnsi="宋体" w:cs="宋体"/>
                <w:color w:val="auto"/>
                <w:szCs w:val="21"/>
                <w:highlight w:val="none"/>
              </w:rPr>
              <w:t>所得税前</w:t>
            </w:r>
          </w:p>
        </w:tc>
        <w:tc>
          <w:tcPr>
            <w:tcW w:w="1812" w:type="dxa"/>
            <w:vAlign w:val="center"/>
          </w:tcPr>
          <w:p>
            <w:pPr>
              <w:spacing w:line="360" w:lineRule="auto"/>
              <w:jc w:val="center"/>
              <w:rPr>
                <w:rFonts w:ascii="宋体" w:cs="宋体"/>
                <w:color w:val="auto"/>
                <w:szCs w:val="21"/>
                <w:highlight w:val="none"/>
              </w:rPr>
            </w:pPr>
            <w:r>
              <w:rPr>
                <w:rFonts w:hint="eastAsia" w:ascii="宋体" w:hAnsi="宋体" w:cs="宋体"/>
                <w:color w:val="auto"/>
                <w:szCs w:val="21"/>
                <w:highlight w:val="none"/>
              </w:rPr>
              <w:t>所得税后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76" w:type="dxa"/>
            <w:vAlign w:val="center"/>
          </w:tcPr>
          <w:p>
            <w:pPr>
              <w:spacing w:line="320" w:lineRule="exact"/>
              <w:jc w:val="center"/>
              <w:rPr>
                <w:rFonts w:ascii="宋体" w:cs="宋体"/>
                <w:color w:val="auto"/>
                <w:szCs w:val="21"/>
                <w:highlight w:val="none"/>
              </w:rPr>
            </w:pPr>
            <w:r>
              <w:rPr>
                <w:rFonts w:ascii="宋体" w:hAnsi="宋体" w:cs="宋体"/>
                <w:color w:val="auto"/>
                <w:szCs w:val="21"/>
                <w:highlight w:val="none"/>
              </w:rPr>
              <w:t>1</w:t>
            </w:r>
          </w:p>
        </w:tc>
        <w:tc>
          <w:tcPr>
            <w:tcW w:w="3018" w:type="dxa"/>
            <w:vAlign w:val="center"/>
          </w:tcPr>
          <w:p>
            <w:pPr>
              <w:spacing w:line="320" w:lineRule="exact"/>
              <w:jc w:val="center"/>
              <w:rPr>
                <w:rFonts w:ascii="宋体" w:cs="宋体"/>
                <w:color w:val="auto"/>
                <w:szCs w:val="21"/>
                <w:highlight w:val="none"/>
              </w:rPr>
            </w:pPr>
            <w:r>
              <w:rPr>
                <w:rFonts w:hint="eastAsia" w:ascii="宋体" w:hAnsi="宋体" w:cs="宋体"/>
                <w:color w:val="auto"/>
                <w:szCs w:val="21"/>
                <w:highlight w:val="none"/>
              </w:rPr>
              <w:t>总投资收益率</w:t>
            </w:r>
          </w:p>
        </w:tc>
        <w:tc>
          <w:tcPr>
            <w:tcW w:w="1375" w:type="dxa"/>
            <w:vAlign w:val="center"/>
          </w:tcPr>
          <w:p>
            <w:pPr>
              <w:spacing w:line="320" w:lineRule="exact"/>
              <w:jc w:val="center"/>
              <w:rPr>
                <w:rFonts w:ascii="宋体" w:cs="宋体"/>
                <w:color w:val="auto"/>
                <w:szCs w:val="21"/>
                <w:highlight w:val="none"/>
              </w:rPr>
            </w:pPr>
            <w:r>
              <w:rPr>
                <w:rFonts w:ascii="宋体" w:hAnsi="宋体" w:cs="宋体"/>
                <w:color w:val="auto"/>
                <w:szCs w:val="21"/>
                <w:highlight w:val="none"/>
              </w:rPr>
              <w:t>%</w:t>
            </w:r>
          </w:p>
        </w:tc>
        <w:tc>
          <w:tcPr>
            <w:tcW w:w="3624" w:type="dxa"/>
            <w:gridSpan w:val="2"/>
            <w:vAlign w:val="center"/>
          </w:tcPr>
          <w:p>
            <w:pPr>
              <w:spacing w:line="320" w:lineRule="exact"/>
              <w:jc w:val="center"/>
              <w:rPr>
                <w:rFonts w:ascii="宋体" w:cs="宋体"/>
                <w:color w:val="auto"/>
                <w:szCs w:val="21"/>
                <w:highlight w:val="none"/>
              </w:rPr>
            </w:pPr>
            <w:r>
              <w:rPr>
                <w:rFonts w:ascii="宋体" w:hAnsi="宋体" w:cs="宋体"/>
                <w:color w:val="auto"/>
                <w:szCs w:val="21"/>
                <w:highlight w:val="none"/>
              </w:rPr>
              <w:t>26.71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76" w:type="dxa"/>
            <w:vAlign w:val="center"/>
          </w:tcPr>
          <w:p>
            <w:pPr>
              <w:spacing w:line="320" w:lineRule="exact"/>
              <w:jc w:val="center"/>
              <w:rPr>
                <w:rFonts w:ascii="宋体" w:cs="宋体"/>
                <w:color w:val="auto"/>
                <w:szCs w:val="21"/>
                <w:highlight w:val="none"/>
              </w:rPr>
            </w:pPr>
            <w:r>
              <w:rPr>
                <w:rFonts w:ascii="宋体" w:hAnsi="宋体" w:cs="宋体"/>
                <w:color w:val="auto"/>
                <w:szCs w:val="21"/>
                <w:highlight w:val="none"/>
              </w:rPr>
              <w:t>2</w:t>
            </w:r>
          </w:p>
        </w:tc>
        <w:tc>
          <w:tcPr>
            <w:tcW w:w="3018" w:type="dxa"/>
            <w:vAlign w:val="center"/>
          </w:tcPr>
          <w:p>
            <w:pPr>
              <w:spacing w:line="320" w:lineRule="exact"/>
              <w:jc w:val="center"/>
              <w:rPr>
                <w:rFonts w:ascii="宋体" w:cs="宋体"/>
                <w:color w:val="auto"/>
                <w:szCs w:val="21"/>
                <w:highlight w:val="none"/>
              </w:rPr>
            </w:pPr>
            <w:r>
              <w:rPr>
                <w:rFonts w:hint="eastAsia" w:ascii="宋体" w:hAnsi="宋体" w:cs="宋体"/>
                <w:color w:val="auto"/>
                <w:szCs w:val="21"/>
                <w:highlight w:val="none"/>
              </w:rPr>
              <w:t>财务内部收益率</w:t>
            </w:r>
            <w:r>
              <w:rPr>
                <w:rFonts w:ascii="宋体" w:hAnsi="宋体" w:cs="宋体"/>
                <w:color w:val="auto"/>
                <w:szCs w:val="21"/>
                <w:highlight w:val="none"/>
              </w:rPr>
              <w:t>FIRR</w:t>
            </w:r>
          </w:p>
        </w:tc>
        <w:tc>
          <w:tcPr>
            <w:tcW w:w="1375" w:type="dxa"/>
            <w:vAlign w:val="center"/>
          </w:tcPr>
          <w:p>
            <w:pPr>
              <w:spacing w:line="320" w:lineRule="exact"/>
              <w:jc w:val="center"/>
              <w:rPr>
                <w:rFonts w:ascii="宋体" w:cs="宋体"/>
                <w:color w:val="auto"/>
                <w:szCs w:val="21"/>
                <w:highlight w:val="none"/>
              </w:rPr>
            </w:pPr>
            <w:r>
              <w:rPr>
                <w:rFonts w:ascii="宋体" w:hAnsi="宋体" w:cs="宋体"/>
                <w:color w:val="auto"/>
                <w:szCs w:val="21"/>
                <w:highlight w:val="none"/>
              </w:rPr>
              <w:t>%</w:t>
            </w:r>
          </w:p>
        </w:tc>
        <w:tc>
          <w:tcPr>
            <w:tcW w:w="1812" w:type="dxa"/>
            <w:vAlign w:val="center"/>
          </w:tcPr>
          <w:p>
            <w:pPr>
              <w:jc w:val="center"/>
              <w:rPr>
                <w:rFonts w:ascii="宋体" w:cs="宋体"/>
                <w:color w:val="auto"/>
                <w:szCs w:val="21"/>
                <w:highlight w:val="none"/>
              </w:rPr>
            </w:pPr>
            <w:r>
              <w:rPr>
                <w:rFonts w:ascii="宋体" w:hAnsi="宋体" w:cs="宋体"/>
                <w:color w:val="auto"/>
                <w:szCs w:val="21"/>
                <w:highlight w:val="none"/>
              </w:rPr>
              <w:t>33.15</w:t>
            </w:r>
          </w:p>
        </w:tc>
        <w:tc>
          <w:tcPr>
            <w:tcW w:w="1812" w:type="dxa"/>
            <w:vAlign w:val="center"/>
          </w:tcPr>
          <w:p>
            <w:pPr>
              <w:jc w:val="center"/>
              <w:rPr>
                <w:rFonts w:ascii="宋体" w:cs="宋体"/>
                <w:color w:val="auto"/>
                <w:szCs w:val="21"/>
                <w:highlight w:val="none"/>
              </w:rPr>
            </w:pPr>
            <w:r>
              <w:rPr>
                <w:rFonts w:ascii="宋体" w:hAnsi="宋体" w:cs="宋体"/>
                <w:color w:val="auto"/>
                <w:szCs w:val="21"/>
                <w:highlight w:val="none"/>
              </w:rPr>
              <w:t>26.14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76" w:type="dxa"/>
            <w:vAlign w:val="center"/>
          </w:tcPr>
          <w:p>
            <w:pPr>
              <w:spacing w:line="320" w:lineRule="exact"/>
              <w:jc w:val="center"/>
              <w:rPr>
                <w:rFonts w:ascii="宋体" w:cs="宋体"/>
                <w:color w:val="auto"/>
                <w:szCs w:val="21"/>
                <w:highlight w:val="none"/>
              </w:rPr>
            </w:pPr>
            <w:r>
              <w:rPr>
                <w:rFonts w:ascii="宋体" w:hAnsi="宋体" w:cs="宋体"/>
                <w:color w:val="auto"/>
                <w:szCs w:val="21"/>
                <w:highlight w:val="none"/>
              </w:rPr>
              <w:t>3</w:t>
            </w:r>
          </w:p>
        </w:tc>
        <w:tc>
          <w:tcPr>
            <w:tcW w:w="3018" w:type="dxa"/>
            <w:vAlign w:val="center"/>
          </w:tcPr>
          <w:p>
            <w:pPr>
              <w:spacing w:line="320" w:lineRule="exact"/>
              <w:jc w:val="center"/>
              <w:rPr>
                <w:rFonts w:ascii="宋体" w:cs="宋体"/>
                <w:color w:val="auto"/>
                <w:szCs w:val="21"/>
                <w:highlight w:val="none"/>
              </w:rPr>
            </w:pPr>
            <w:r>
              <w:rPr>
                <w:rFonts w:hint="eastAsia" w:ascii="宋体" w:hAnsi="宋体" w:cs="宋体"/>
                <w:color w:val="auto"/>
                <w:szCs w:val="21"/>
                <w:highlight w:val="none"/>
              </w:rPr>
              <w:t>财务净现值</w:t>
            </w:r>
            <w:r>
              <w:rPr>
                <w:rFonts w:ascii="宋体" w:hAnsi="宋体" w:cs="宋体"/>
                <w:color w:val="auto"/>
                <w:szCs w:val="21"/>
                <w:highlight w:val="none"/>
              </w:rPr>
              <w:t>FNPV</w:t>
            </w:r>
            <w:r>
              <w:rPr>
                <w:rFonts w:hint="eastAsia" w:ascii="宋体" w:hAnsi="宋体" w:cs="宋体"/>
                <w:color w:val="auto"/>
                <w:szCs w:val="21"/>
                <w:highlight w:val="none"/>
              </w:rPr>
              <w:t>（</w:t>
            </w:r>
            <w:r>
              <w:rPr>
                <w:rFonts w:ascii="宋体" w:hAnsi="宋体" w:cs="宋体"/>
                <w:color w:val="auto"/>
                <w:szCs w:val="21"/>
                <w:highlight w:val="none"/>
              </w:rPr>
              <w:t>i=12%</w:t>
            </w:r>
            <w:r>
              <w:rPr>
                <w:rFonts w:hint="eastAsia" w:ascii="宋体" w:hAnsi="宋体" w:cs="宋体"/>
                <w:color w:val="auto"/>
                <w:szCs w:val="21"/>
                <w:highlight w:val="none"/>
              </w:rPr>
              <w:t>）</w:t>
            </w:r>
          </w:p>
        </w:tc>
        <w:tc>
          <w:tcPr>
            <w:tcW w:w="1375" w:type="dxa"/>
            <w:vAlign w:val="center"/>
          </w:tcPr>
          <w:p>
            <w:pPr>
              <w:spacing w:line="320" w:lineRule="exact"/>
              <w:jc w:val="center"/>
              <w:rPr>
                <w:rFonts w:ascii="宋体" w:cs="宋体"/>
                <w:color w:val="auto"/>
                <w:szCs w:val="21"/>
                <w:highlight w:val="none"/>
              </w:rPr>
            </w:pPr>
            <w:r>
              <w:rPr>
                <w:rFonts w:hint="eastAsia" w:ascii="宋体" w:hAnsi="宋体" w:cs="宋体"/>
                <w:color w:val="auto"/>
                <w:szCs w:val="21"/>
                <w:highlight w:val="none"/>
              </w:rPr>
              <w:t>万元</w:t>
            </w:r>
          </w:p>
        </w:tc>
        <w:tc>
          <w:tcPr>
            <w:tcW w:w="1812" w:type="dxa"/>
            <w:vAlign w:val="center"/>
          </w:tcPr>
          <w:p>
            <w:pPr>
              <w:jc w:val="center"/>
              <w:rPr>
                <w:rFonts w:hint="eastAsia" w:ascii="宋体" w:eastAsia="宋体" w:cs="宋体"/>
                <w:color w:val="auto"/>
                <w:szCs w:val="21"/>
                <w:highlight w:val="none"/>
                <w:lang w:eastAsia="zh-CN"/>
              </w:rPr>
            </w:pPr>
            <w:r>
              <w:rPr>
                <w:rFonts w:ascii="宋体" w:hAnsi="宋体" w:cs="宋体"/>
                <w:color w:val="auto"/>
                <w:szCs w:val="21"/>
                <w:highlight w:val="none"/>
              </w:rPr>
              <w:t>388.7</w:t>
            </w:r>
            <w:r>
              <w:rPr>
                <w:rFonts w:hint="eastAsia" w:ascii="宋体" w:hAnsi="宋体" w:cs="宋体"/>
                <w:color w:val="auto"/>
                <w:szCs w:val="21"/>
                <w:highlight w:val="none"/>
                <w:lang w:val="en-US" w:eastAsia="zh-CN"/>
              </w:rPr>
              <w:t>0</w:t>
            </w:r>
          </w:p>
        </w:tc>
        <w:tc>
          <w:tcPr>
            <w:tcW w:w="1812" w:type="dxa"/>
            <w:vAlign w:val="center"/>
          </w:tcPr>
          <w:p>
            <w:pPr>
              <w:jc w:val="center"/>
              <w:rPr>
                <w:rFonts w:hint="eastAsia" w:ascii="宋体" w:eastAsia="宋体" w:cs="宋体"/>
                <w:color w:val="auto"/>
                <w:szCs w:val="21"/>
                <w:highlight w:val="none"/>
                <w:lang w:eastAsia="zh-CN"/>
              </w:rPr>
            </w:pPr>
            <w:r>
              <w:rPr>
                <w:rFonts w:ascii="宋体" w:hAnsi="宋体" w:cs="宋体"/>
                <w:color w:val="auto"/>
                <w:szCs w:val="21"/>
                <w:highlight w:val="none"/>
              </w:rPr>
              <w:t>249.0</w:t>
            </w:r>
            <w:r>
              <w:rPr>
                <w:rFonts w:hint="eastAsia" w:ascii="宋体" w:hAnsi="宋体" w:cs="宋体"/>
                <w:color w:val="auto"/>
                <w:szCs w:val="21"/>
                <w:highlight w:val="none"/>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76" w:type="dxa"/>
            <w:vAlign w:val="center"/>
          </w:tcPr>
          <w:p>
            <w:pPr>
              <w:spacing w:line="320" w:lineRule="exact"/>
              <w:jc w:val="center"/>
              <w:rPr>
                <w:rFonts w:ascii="宋体" w:cs="宋体"/>
                <w:color w:val="auto"/>
                <w:szCs w:val="21"/>
                <w:highlight w:val="none"/>
              </w:rPr>
            </w:pPr>
            <w:r>
              <w:rPr>
                <w:rFonts w:ascii="宋体" w:hAnsi="宋体" w:cs="宋体"/>
                <w:color w:val="auto"/>
                <w:szCs w:val="21"/>
                <w:highlight w:val="none"/>
              </w:rPr>
              <w:t>4</w:t>
            </w:r>
          </w:p>
        </w:tc>
        <w:tc>
          <w:tcPr>
            <w:tcW w:w="3018" w:type="dxa"/>
            <w:vAlign w:val="center"/>
          </w:tcPr>
          <w:p>
            <w:pPr>
              <w:spacing w:line="320" w:lineRule="exact"/>
              <w:jc w:val="center"/>
              <w:rPr>
                <w:rFonts w:ascii="宋体" w:cs="宋体"/>
                <w:color w:val="auto"/>
                <w:szCs w:val="21"/>
                <w:highlight w:val="none"/>
              </w:rPr>
            </w:pPr>
            <w:r>
              <w:rPr>
                <w:rFonts w:hint="eastAsia" w:ascii="宋体" w:hAnsi="宋体" w:cs="宋体"/>
                <w:color w:val="auto"/>
                <w:szCs w:val="21"/>
                <w:highlight w:val="none"/>
              </w:rPr>
              <w:t>投资回收期</w:t>
            </w:r>
            <w:r>
              <w:rPr>
                <w:rFonts w:ascii="宋体" w:hAnsi="宋体" w:cs="宋体"/>
                <w:color w:val="auto"/>
                <w:szCs w:val="21"/>
                <w:highlight w:val="none"/>
              </w:rPr>
              <w:t>Pt</w:t>
            </w:r>
            <w:r>
              <w:rPr>
                <w:rFonts w:hint="eastAsia" w:ascii="宋体" w:hAnsi="宋体" w:cs="宋体"/>
                <w:color w:val="auto"/>
                <w:szCs w:val="21"/>
                <w:highlight w:val="none"/>
              </w:rPr>
              <w:t>（含建设期）</w:t>
            </w:r>
          </w:p>
        </w:tc>
        <w:tc>
          <w:tcPr>
            <w:tcW w:w="1375" w:type="dxa"/>
            <w:vAlign w:val="center"/>
          </w:tcPr>
          <w:p>
            <w:pPr>
              <w:spacing w:line="320" w:lineRule="exact"/>
              <w:jc w:val="center"/>
              <w:rPr>
                <w:rFonts w:ascii="宋体" w:cs="宋体"/>
                <w:color w:val="auto"/>
                <w:szCs w:val="21"/>
                <w:highlight w:val="none"/>
              </w:rPr>
            </w:pPr>
            <w:r>
              <w:rPr>
                <w:rFonts w:hint="eastAsia" w:ascii="宋体" w:hAnsi="宋体" w:cs="宋体"/>
                <w:color w:val="auto"/>
                <w:szCs w:val="21"/>
                <w:highlight w:val="none"/>
              </w:rPr>
              <w:t>年</w:t>
            </w:r>
          </w:p>
        </w:tc>
        <w:tc>
          <w:tcPr>
            <w:tcW w:w="1812" w:type="dxa"/>
            <w:vAlign w:val="center"/>
          </w:tcPr>
          <w:p>
            <w:pPr>
              <w:jc w:val="center"/>
              <w:rPr>
                <w:rFonts w:ascii="宋体" w:cs="宋体"/>
                <w:color w:val="auto"/>
                <w:szCs w:val="21"/>
                <w:highlight w:val="none"/>
              </w:rPr>
            </w:pPr>
            <w:r>
              <w:rPr>
                <w:rFonts w:ascii="宋体" w:hAnsi="宋体" w:cs="宋体"/>
                <w:color w:val="auto"/>
                <w:szCs w:val="21"/>
                <w:highlight w:val="none"/>
              </w:rPr>
              <w:t>3.81</w:t>
            </w:r>
          </w:p>
        </w:tc>
        <w:tc>
          <w:tcPr>
            <w:tcW w:w="1812" w:type="dxa"/>
            <w:vAlign w:val="center"/>
          </w:tcPr>
          <w:p>
            <w:pPr>
              <w:jc w:val="center"/>
              <w:rPr>
                <w:rFonts w:ascii="宋体" w:cs="宋体"/>
                <w:color w:val="auto"/>
                <w:szCs w:val="21"/>
                <w:highlight w:val="none"/>
              </w:rPr>
            </w:pPr>
            <w:r>
              <w:rPr>
                <w:rFonts w:ascii="宋体" w:hAnsi="宋体" w:cs="宋体"/>
                <w:color w:val="auto"/>
                <w:szCs w:val="21"/>
                <w:highlight w:val="none"/>
              </w:rPr>
              <w:t>4.39</w:t>
            </w:r>
          </w:p>
        </w:tc>
      </w:tr>
    </w:tbl>
    <w:p>
      <w:pPr>
        <w:pStyle w:val="32"/>
        <w:spacing w:line="560" w:lineRule="exact"/>
        <w:ind w:firstLine="31680"/>
        <w:jc w:val="left"/>
        <w:rPr>
          <w:rFonts w:ascii="宋体" w:cs="宋体"/>
          <w:color w:val="auto"/>
          <w:sz w:val="28"/>
          <w:szCs w:val="28"/>
          <w:highlight w:val="none"/>
        </w:rPr>
      </w:pPr>
      <w:r>
        <w:rPr>
          <w:rFonts w:ascii="宋体" w:hAnsi="宋体" w:cs="宋体"/>
          <w:color w:val="auto"/>
          <w:sz w:val="28"/>
          <w:szCs w:val="28"/>
          <w:highlight w:val="none"/>
        </w:rPr>
        <w:t xml:space="preserve">     </w:t>
      </w:r>
      <w:r>
        <w:rPr>
          <w:rFonts w:hint="eastAsia" w:ascii="宋体" w:hAnsi="宋体" w:cs="宋体"/>
          <w:color w:val="auto"/>
          <w:sz w:val="28"/>
          <w:szCs w:val="28"/>
          <w:highlight w:val="none"/>
        </w:rPr>
        <w:t>详见附《财务评价指标汇总表》</w:t>
      </w:r>
    </w:p>
    <w:p>
      <w:pPr>
        <w:pStyle w:val="32"/>
        <w:spacing w:line="560" w:lineRule="exact"/>
        <w:ind w:firstLine="31680"/>
        <w:jc w:val="left"/>
        <w:outlineLvl w:val="1"/>
        <w:rPr>
          <w:rFonts w:ascii="宋体" w:cs="宋体"/>
          <w:color w:val="auto"/>
          <w:sz w:val="28"/>
          <w:szCs w:val="28"/>
          <w:highlight w:val="none"/>
        </w:rPr>
      </w:pPr>
      <w:bookmarkStart w:id="1506" w:name="_Toc1685"/>
      <w:bookmarkStart w:id="1507" w:name="_Toc31656"/>
      <w:bookmarkStart w:id="1508" w:name="_Toc12614"/>
      <w:bookmarkStart w:id="1509" w:name="_Toc29392_WPSOffice_Level2"/>
      <w:bookmarkStart w:id="1510" w:name="_Toc14154_WPSOffice_Level2"/>
      <w:bookmarkStart w:id="1511" w:name="_Toc23840_WPSOffice_Level2"/>
      <w:bookmarkStart w:id="1512" w:name="_Toc19970_WPSOffice_Level2"/>
      <w:bookmarkStart w:id="1513" w:name="_Toc4859"/>
      <w:bookmarkStart w:id="1514" w:name="_Toc22256"/>
      <w:bookmarkStart w:id="1515" w:name="_Toc5875"/>
      <w:r>
        <w:rPr>
          <w:rFonts w:ascii="宋体" w:hAnsi="宋体" w:cs="宋体"/>
          <w:color w:val="auto"/>
          <w:sz w:val="28"/>
          <w:szCs w:val="28"/>
          <w:highlight w:val="none"/>
        </w:rPr>
        <w:t>16.4</w:t>
      </w:r>
      <w:bookmarkEnd w:id="1506"/>
      <w:bookmarkEnd w:id="1507"/>
      <w:bookmarkEnd w:id="1508"/>
      <w:bookmarkEnd w:id="1509"/>
      <w:bookmarkEnd w:id="1510"/>
      <w:bookmarkEnd w:id="1511"/>
      <w:bookmarkEnd w:id="1512"/>
      <w:bookmarkEnd w:id="1513"/>
      <w:bookmarkStart w:id="1516" w:name="_Toc7743_WPSOffice_Level2"/>
      <w:bookmarkStart w:id="1517" w:name="_Toc4704"/>
      <w:bookmarkStart w:id="1518" w:name="_Toc26588_WPSOffice_Level2"/>
      <w:bookmarkStart w:id="1519" w:name="_Toc6313_WPSOffice_Level2"/>
      <w:bookmarkStart w:id="1520" w:name="_Toc1268"/>
      <w:bookmarkStart w:id="1521" w:name="_Toc31686"/>
      <w:bookmarkStart w:id="1522" w:name="_Toc4084_WPSOffice_Level2"/>
      <w:r>
        <w:rPr>
          <w:rFonts w:hint="eastAsia" w:ascii="宋体" w:hAnsi="宋体" w:cs="宋体"/>
          <w:color w:val="auto"/>
          <w:sz w:val="28"/>
          <w:szCs w:val="28"/>
          <w:highlight w:val="none"/>
        </w:rPr>
        <w:t>盈亏平衡分析</w:t>
      </w:r>
      <w:bookmarkEnd w:id="1514"/>
      <w:bookmarkEnd w:id="1515"/>
      <w:bookmarkStart w:id="1670" w:name="_GoBack"/>
      <w:bookmarkEnd w:id="1670"/>
    </w:p>
    <w:p>
      <w:pPr>
        <w:pStyle w:val="33"/>
        <w:widowControl/>
        <w:spacing w:line="560" w:lineRule="exact"/>
        <w:ind w:firstLine="31680"/>
        <w:rPr>
          <w:rFonts w:ascii="宋体" w:cs="宋体"/>
          <w:color w:val="auto"/>
          <w:sz w:val="28"/>
          <w:szCs w:val="28"/>
          <w:highlight w:val="none"/>
        </w:rPr>
      </w:pPr>
      <w:bookmarkStart w:id="1523" w:name="_Toc18562"/>
      <w:bookmarkStart w:id="1524" w:name="_Toc7583"/>
      <w:r>
        <w:rPr>
          <w:rFonts w:hint="eastAsia" w:ascii="宋体" w:hAnsi="宋体" w:cs="宋体"/>
          <w:color w:val="auto"/>
          <w:sz w:val="28"/>
          <w:szCs w:val="28"/>
          <w:highlight w:val="none"/>
        </w:rPr>
        <w:t>本项目基本方案生产能力的盈亏平衡计算如下：</w:t>
      </w:r>
    </w:p>
    <w:tbl>
      <w:tblPr>
        <w:tblStyle w:val="16"/>
        <w:tblW w:w="8447" w:type="dxa"/>
        <w:tblInd w:w="500" w:type="dxa"/>
        <w:tblLayout w:type="fixed"/>
        <w:tblCellMar>
          <w:top w:w="0" w:type="dxa"/>
          <w:left w:w="108" w:type="dxa"/>
          <w:bottom w:w="0" w:type="dxa"/>
          <w:right w:w="108" w:type="dxa"/>
        </w:tblCellMar>
      </w:tblPr>
      <w:tblGrid>
        <w:gridCol w:w="996"/>
        <w:gridCol w:w="4841"/>
        <w:gridCol w:w="2610"/>
      </w:tblGrid>
      <w:tr>
        <w:tblPrEx>
          <w:tblCellMar>
            <w:top w:w="0" w:type="dxa"/>
            <w:left w:w="108" w:type="dxa"/>
            <w:bottom w:w="0" w:type="dxa"/>
            <w:right w:w="108" w:type="dxa"/>
          </w:tblCellMar>
        </w:tblPrEx>
        <w:trPr>
          <w:cantSplit/>
          <w:trHeight w:val="531" w:hRule="atLeast"/>
        </w:trPr>
        <w:tc>
          <w:tcPr>
            <w:tcW w:w="996" w:type="dxa"/>
            <w:vAlign w:val="center"/>
          </w:tcPr>
          <w:p>
            <w:pPr>
              <w:spacing w:line="560" w:lineRule="exact"/>
              <w:jc w:val="center"/>
              <w:rPr>
                <w:rFonts w:ascii="宋体" w:cs="宋体"/>
                <w:color w:val="auto"/>
                <w:sz w:val="24"/>
                <w:szCs w:val="24"/>
                <w:highlight w:val="none"/>
              </w:rPr>
            </w:pPr>
            <w:r>
              <w:rPr>
                <w:rFonts w:ascii="宋体" w:hAnsi="宋体" w:cs="宋体"/>
                <w:color w:val="auto"/>
                <w:sz w:val="24"/>
                <w:szCs w:val="24"/>
                <w:highlight w:val="none"/>
              </w:rPr>
              <w:t>BEP</w:t>
            </w:r>
            <w:r>
              <w:rPr>
                <w:rFonts w:hint="eastAsia" w:ascii="宋体" w:hAnsi="宋体" w:cs="宋体"/>
                <w:color w:val="auto"/>
                <w:sz w:val="24"/>
                <w:szCs w:val="24"/>
                <w:highlight w:val="none"/>
              </w:rPr>
              <w:t>＝</w:t>
            </w:r>
          </w:p>
        </w:tc>
        <w:tc>
          <w:tcPr>
            <w:tcW w:w="4841" w:type="dxa"/>
            <w:vAlign w:val="center"/>
          </w:tcPr>
          <w:p>
            <w:pPr>
              <w:spacing w:line="560" w:lineRule="exact"/>
              <w:jc w:val="center"/>
              <w:rPr>
                <w:rFonts w:ascii="宋体" w:cs="宋体"/>
                <w:color w:val="auto"/>
                <w:sz w:val="24"/>
                <w:szCs w:val="24"/>
                <w:highlight w:val="none"/>
              </w:rPr>
            </w:pPr>
            <w:r>
              <w:rPr>
                <w:rFonts w:hint="eastAsia" w:ascii="宋体" w:hAnsi="宋体" w:cs="宋体"/>
                <w:color w:val="auto"/>
                <w:sz w:val="24"/>
                <w:szCs w:val="24"/>
                <w:highlight w:val="none"/>
              </w:rPr>
              <w:t>固定成本</w:t>
            </w:r>
          </w:p>
          <w:p>
            <w:pPr>
              <w:spacing w:line="560" w:lineRule="exact"/>
              <w:jc w:val="center"/>
              <w:rPr>
                <w:rFonts w:ascii="宋体" w:cs="宋体"/>
                <w:color w:val="auto"/>
                <w:sz w:val="24"/>
                <w:szCs w:val="24"/>
                <w:highlight w:val="none"/>
              </w:rPr>
            </w:pPr>
            <w:r>
              <w:rPr>
                <w:color w:val="auto"/>
                <w:highlight w:val="none"/>
              </w:rPr>
              <mc:AlternateContent>
                <mc:Choice Requires="wps">
                  <w:drawing>
                    <wp:anchor distT="0" distB="0" distL="114300" distR="114300" simplePos="0" relativeHeight="251668480" behindDoc="0" locked="0" layoutInCell="1" allowOverlap="1">
                      <wp:simplePos x="0" y="0"/>
                      <wp:positionH relativeFrom="column">
                        <wp:posOffset>10160</wp:posOffset>
                      </wp:positionH>
                      <wp:positionV relativeFrom="paragraph">
                        <wp:posOffset>16510</wp:posOffset>
                      </wp:positionV>
                      <wp:extent cx="2867025" cy="635"/>
                      <wp:effectExtent l="0" t="0" r="0" b="0"/>
                      <wp:wrapNone/>
                      <wp:docPr id="10" name="直线 14"/>
                      <wp:cNvGraphicFramePr/>
                      <a:graphic xmlns:a="http://schemas.openxmlformats.org/drawingml/2006/main">
                        <a:graphicData uri="http://schemas.microsoft.com/office/word/2010/wordprocessingShape">
                          <wps:wsp>
                            <wps:cNvCnPr/>
                            <wps:spPr>
                              <a:xfrm>
                                <a:off x="0" y="0"/>
                                <a:ext cx="2867025" cy="63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直线 14" o:spid="_x0000_s1026" o:spt="20" style="position:absolute;left:0pt;margin-left:0.8pt;margin-top:1.3pt;height:0.05pt;width:225.75pt;z-index:251668480;mso-width-relative:page;mso-height-relative:page;" filled="f" stroked="t" coordsize="21600,21600" o:gfxdata="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QC8UBNIAAAAF&#10;AQAADwAAAAAAAAABACAAAAAiAAAAZHJzL2Rvd25yZXYueG1sUEsBAhQAFAAAAAgAh07iQClBMjnp&#10;AQAA3wMAAA4AAAAAAAAAAQAgAAAAIQEAAGRycy9lMm9Eb2MueG1sUEsFBgAAAAAGAAYAWQEAAHwF&#10;AAAAAA==&#10;">
                      <v:fill on="f" focussize="0,0"/>
                      <v:stroke color="#000000" joinstyle="round"/>
                      <v:imagedata o:title=""/>
                      <o:lock v:ext="edit" aspectratio="f"/>
                    </v:line>
                  </w:pict>
                </mc:Fallback>
              </mc:AlternateContent>
            </w:r>
            <w:r>
              <w:rPr>
                <w:rFonts w:hint="eastAsia" w:ascii="宋体" w:hAnsi="宋体" w:cs="宋体"/>
                <w:color w:val="auto"/>
                <w:sz w:val="24"/>
                <w:szCs w:val="24"/>
                <w:highlight w:val="none"/>
              </w:rPr>
              <w:t>销售收入－销售税金及附加－可变成本</w:t>
            </w:r>
          </w:p>
        </w:tc>
        <w:tc>
          <w:tcPr>
            <w:tcW w:w="2610" w:type="dxa"/>
            <w:vAlign w:val="center"/>
          </w:tcPr>
          <w:p>
            <w:pPr>
              <w:spacing w:line="560" w:lineRule="exact"/>
              <w:jc w:val="center"/>
              <w:rPr>
                <w:rFonts w:ascii="宋体" w:cs="宋体"/>
                <w:color w:val="auto"/>
                <w:sz w:val="24"/>
                <w:szCs w:val="24"/>
                <w:highlight w:val="none"/>
              </w:rPr>
            </w:pPr>
            <w:r>
              <w:rPr>
                <w:rFonts w:hint="eastAsia" w:ascii="宋体" w:hAnsi="宋体" w:cs="宋体"/>
                <w:color w:val="auto"/>
                <w:sz w:val="24"/>
                <w:szCs w:val="24"/>
                <w:highlight w:val="none"/>
              </w:rPr>
              <w:t>×</w:t>
            </w:r>
            <w:r>
              <w:rPr>
                <w:rFonts w:ascii="宋体" w:hAnsi="宋体" w:cs="宋体"/>
                <w:color w:val="auto"/>
                <w:sz w:val="24"/>
                <w:szCs w:val="24"/>
                <w:highlight w:val="none"/>
              </w:rPr>
              <w:t>100%</w:t>
            </w:r>
          </w:p>
        </w:tc>
      </w:tr>
    </w:tbl>
    <w:p>
      <w:pPr>
        <w:pStyle w:val="32"/>
        <w:spacing w:line="560" w:lineRule="exact"/>
        <w:ind w:firstLine="31680"/>
        <w:jc w:val="left"/>
        <w:outlineLvl w:val="1"/>
        <w:rPr>
          <w:rFonts w:ascii="宋体"/>
          <w:color w:val="auto"/>
          <w:sz w:val="28"/>
          <w:szCs w:val="28"/>
          <w:highlight w:val="none"/>
        </w:rPr>
      </w:pPr>
      <w:r>
        <w:rPr>
          <w:rFonts w:ascii="宋体"/>
          <w:color w:val="auto"/>
          <w:sz w:val="28"/>
          <w:szCs w:val="28"/>
          <w:highlight w:val="none"/>
        </w:rPr>
        <w:t xml:space="preserve">   </w:t>
      </w:r>
      <w:bookmarkStart w:id="1525" w:name="_Toc4025"/>
      <w:bookmarkStart w:id="1526" w:name="_Toc15845"/>
      <w:r>
        <w:rPr>
          <w:rFonts w:hint="eastAsia" w:ascii="宋体"/>
          <w:color w:val="auto"/>
          <w:sz w:val="28"/>
          <w:szCs w:val="28"/>
          <w:highlight w:val="none"/>
        </w:rPr>
        <w:t>＝</w:t>
      </w:r>
      <w:r>
        <w:rPr>
          <w:rFonts w:ascii="宋体"/>
          <w:color w:val="auto"/>
          <w:sz w:val="28"/>
          <w:szCs w:val="28"/>
          <w:highlight w:val="none"/>
        </w:rPr>
        <w:t xml:space="preserve"> 29.63%</w:t>
      </w:r>
      <w:bookmarkEnd w:id="1525"/>
      <w:bookmarkEnd w:id="1526"/>
    </w:p>
    <w:p>
      <w:pPr>
        <w:pStyle w:val="33"/>
        <w:widowControl/>
        <w:spacing w:line="560" w:lineRule="exact"/>
        <w:ind w:firstLine="31680"/>
        <w:outlineLvl w:val="1"/>
        <w:rPr>
          <w:rFonts w:ascii="宋体" w:cs="宋体"/>
          <w:color w:val="auto"/>
          <w:sz w:val="28"/>
          <w:szCs w:val="28"/>
          <w:highlight w:val="none"/>
        </w:rPr>
      </w:pPr>
      <w:bookmarkStart w:id="1527" w:name="_Toc27696"/>
      <w:r>
        <w:rPr>
          <w:rFonts w:ascii="宋体" w:hAnsi="宋体" w:cs="宋体"/>
          <w:color w:val="auto"/>
          <w:sz w:val="28"/>
          <w:szCs w:val="28"/>
          <w:highlight w:val="none"/>
        </w:rPr>
        <w:t>16.5</w:t>
      </w:r>
      <w:r>
        <w:rPr>
          <w:rFonts w:hint="eastAsia" w:ascii="宋体" w:hAnsi="宋体" w:cs="宋体"/>
          <w:color w:val="auto"/>
          <w:sz w:val="28"/>
          <w:szCs w:val="28"/>
          <w:highlight w:val="none"/>
        </w:rPr>
        <w:t>评价</w:t>
      </w:r>
      <w:bookmarkEnd w:id="1516"/>
      <w:bookmarkEnd w:id="1517"/>
      <w:bookmarkEnd w:id="1518"/>
      <w:bookmarkEnd w:id="1519"/>
      <w:bookmarkEnd w:id="1520"/>
      <w:bookmarkEnd w:id="1521"/>
      <w:bookmarkEnd w:id="1522"/>
      <w:bookmarkEnd w:id="1523"/>
      <w:bookmarkEnd w:id="1524"/>
      <w:r>
        <w:rPr>
          <w:rFonts w:hint="eastAsia" w:ascii="宋体" w:hAnsi="宋体" w:cs="宋体"/>
          <w:color w:val="auto"/>
          <w:sz w:val="28"/>
          <w:szCs w:val="28"/>
          <w:highlight w:val="none"/>
        </w:rPr>
        <w:t>结论</w:t>
      </w:r>
      <w:bookmarkEnd w:id="1527"/>
    </w:p>
    <w:p>
      <w:pPr>
        <w:pStyle w:val="33"/>
        <w:widowControl/>
        <w:spacing w:line="560" w:lineRule="exact"/>
        <w:ind w:firstLine="31680"/>
        <w:rPr>
          <w:rFonts w:ascii="宋体" w:cs="宋体"/>
          <w:color w:val="auto"/>
          <w:sz w:val="28"/>
          <w:szCs w:val="28"/>
          <w:highlight w:val="none"/>
        </w:rPr>
      </w:pPr>
      <w:r>
        <w:rPr>
          <w:rFonts w:hint="eastAsia" w:ascii="宋体" w:hAnsi="宋体" w:cs="宋体"/>
          <w:color w:val="auto"/>
          <w:sz w:val="28"/>
          <w:szCs w:val="28"/>
          <w:highlight w:val="none"/>
        </w:rPr>
        <w:t>本项目总投资</w:t>
      </w:r>
      <w:r>
        <w:rPr>
          <w:rFonts w:ascii="宋体" w:hAnsi="宋体" w:cs="宋体"/>
          <w:color w:val="auto"/>
          <w:sz w:val="28"/>
          <w:szCs w:val="28"/>
          <w:highlight w:val="none"/>
        </w:rPr>
        <w:t>450</w:t>
      </w:r>
      <w:r>
        <w:rPr>
          <w:rFonts w:hint="eastAsia" w:ascii="宋体" w:hAnsi="宋体" w:cs="宋体"/>
          <w:color w:val="auto"/>
          <w:sz w:val="28"/>
          <w:szCs w:val="28"/>
          <w:highlight w:val="none"/>
        </w:rPr>
        <w:t>万元，由财务分析表明在正常情况下，本项目投产后，</w:t>
      </w:r>
      <w:r>
        <w:rPr>
          <w:rFonts w:hint="eastAsia" w:ascii="宋体" w:hAnsi="宋体" w:cs="宋体"/>
          <w:color w:val="auto"/>
          <w:sz w:val="28"/>
          <w:szCs w:val="28"/>
          <w:highlight w:val="none"/>
          <w:lang w:val="zh-CN"/>
        </w:rPr>
        <w:t>税前财务内部收益率</w:t>
      </w:r>
      <w:r>
        <w:rPr>
          <w:rFonts w:ascii="宋体" w:hAnsi="宋体" w:cs="宋体"/>
          <w:color w:val="auto"/>
          <w:sz w:val="28"/>
          <w:szCs w:val="28"/>
          <w:highlight w:val="none"/>
        </w:rPr>
        <w:t>33.15</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w:t>
      </w:r>
      <w:r>
        <w:rPr>
          <w:rFonts w:ascii="宋体" w:hAnsi="宋体" w:cs="宋体"/>
          <w:color w:val="auto"/>
          <w:sz w:val="28"/>
          <w:szCs w:val="28"/>
          <w:highlight w:val="none"/>
          <w:lang w:val="zh-CN"/>
        </w:rPr>
        <w:t>I=12%</w:t>
      </w:r>
      <w:r>
        <w:rPr>
          <w:rFonts w:hint="eastAsia" w:ascii="宋体" w:hAnsi="宋体" w:cs="宋体"/>
          <w:color w:val="auto"/>
          <w:sz w:val="28"/>
          <w:szCs w:val="28"/>
          <w:highlight w:val="none"/>
          <w:lang w:val="zh-CN"/>
        </w:rPr>
        <w:t>），税后财务内部收益率</w:t>
      </w:r>
      <w:r>
        <w:rPr>
          <w:rFonts w:ascii="宋体" w:hAnsi="宋体" w:cs="宋体"/>
          <w:color w:val="auto"/>
          <w:sz w:val="28"/>
          <w:szCs w:val="28"/>
          <w:highlight w:val="none"/>
        </w:rPr>
        <w:t>26.14</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w:t>
      </w:r>
      <w:r>
        <w:rPr>
          <w:rFonts w:ascii="宋体" w:hAnsi="宋体" w:cs="宋体"/>
          <w:color w:val="auto"/>
          <w:sz w:val="28"/>
          <w:szCs w:val="28"/>
          <w:highlight w:val="none"/>
          <w:lang w:val="zh-CN"/>
        </w:rPr>
        <w:t>I=1</w:t>
      </w:r>
      <w:r>
        <w:rPr>
          <w:rFonts w:ascii="宋体" w:cs="宋体"/>
          <w:color w:val="auto"/>
          <w:sz w:val="28"/>
          <w:szCs w:val="28"/>
          <w:highlight w:val="none"/>
        </w:rPr>
        <w:t>0</w:t>
      </w:r>
      <w:r>
        <w:rPr>
          <w:rFonts w:ascii="宋体" w:hAnsi="宋体" w:cs="宋体"/>
          <w:color w:val="auto"/>
          <w:sz w:val="28"/>
          <w:szCs w:val="28"/>
          <w:highlight w:val="none"/>
          <w:lang w:val="zh-CN"/>
        </w:rPr>
        <w:t>%</w:t>
      </w:r>
      <w:r>
        <w:rPr>
          <w:rFonts w:hint="eastAsia" w:ascii="宋体" w:hAnsi="宋体" w:cs="宋体"/>
          <w:color w:val="auto"/>
          <w:sz w:val="28"/>
          <w:szCs w:val="28"/>
          <w:highlight w:val="none"/>
          <w:lang w:val="zh-CN"/>
        </w:rPr>
        <w:t>），税前回收期</w:t>
      </w:r>
      <w:r>
        <w:rPr>
          <w:rFonts w:ascii="宋体" w:hAnsi="宋体" w:cs="宋体"/>
          <w:color w:val="auto"/>
          <w:sz w:val="28"/>
          <w:szCs w:val="28"/>
          <w:highlight w:val="none"/>
        </w:rPr>
        <w:t>3.81</w:t>
      </w:r>
      <w:r>
        <w:rPr>
          <w:rFonts w:hint="eastAsia" w:ascii="宋体" w:hAnsi="宋体" w:cs="宋体"/>
          <w:color w:val="auto"/>
          <w:sz w:val="28"/>
          <w:szCs w:val="28"/>
          <w:highlight w:val="none"/>
          <w:lang w:val="zh-CN"/>
        </w:rPr>
        <w:t>年，税后回收期</w:t>
      </w:r>
      <w:r>
        <w:rPr>
          <w:rFonts w:ascii="宋体" w:hAnsi="宋体" w:cs="宋体"/>
          <w:color w:val="auto"/>
          <w:sz w:val="28"/>
          <w:szCs w:val="28"/>
          <w:highlight w:val="none"/>
        </w:rPr>
        <w:t>4.39</w:t>
      </w:r>
      <w:r>
        <w:rPr>
          <w:rFonts w:hint="eastAsia" w:ascii="宋体" w:hAnsi="宋体" w:cs="宋体"/>
          <w:color w:val="auto"/>
          <w:sz w:val="28"/>
          <w:szCs w:val="28"/>
          <w:highlight w:val="none"/>
          <w:lang w:val="zh-CN"/>
        </w:rPr>
        <w:t>年（含建设期</w:t>
      </w:r>
      <w:r>
        <w:rPr>
          <w:rFonts w:ascii="宋体" w:hAnsi="宋体" w:cs="宋体"/>
          <w:color w:val="auto"/>
          <w:sz w:val="28"/>
          <w:szCs w:val="28"/>
          <w:highlight w:val="none"/>
        </w:rPr>
        <w:t>1</w:t>
      </w:r>
      <w:r>
        <w:rPr>
          <w:rFonts w:hint="eastAsia" w:ascii="宋体" w:hAnsi="宋体" w:cs="宋体"/>
          <w:color w:val="auto"/>
          <w:sz w:val="28"/>
          <w:szCs w:val="28"/>
          <w:highlight w:val="none"/>
          <w:lang w:val="zh-CN"/>
        </w:rPr>
        <w:t>年）</w:t>
      </w:r>
      <w:r>
        <w:rPr>
          <w:rFonts w:hint="eastAsia" w:ascii="宋体" w:hAnsi="宋体" w:cs="宋体"/>
          <w:color w:val="auto"/>
          <w:sz w:val="28"/>
          <w:szCs w:val="28"/>
          <w:highlight w:val="none"/>
        </w:rPr>
        <w:t>；表明项目的财务经济效益能够满足投资者的要求；从盈亏平衡分析可以看出，项目具有较强的抗风险能力。</w:t>
      </w:r>
    </w:p>
    <w:p>
      <w:pPr>
        <w:pStyle w:val="33"/>
        <w:widowControl/>
        <w:spacing w:line="560" w:lineRule="exact"/>
        <w:ind w:firstLine="31680"/>
        <w:rPr>
          <w:rFonts w:ascii="宋体" w:cs="宋体"/>
          <w:color w:val="auto"/>
          <w:sz w:val="28"/>
          <w:szCs w:val="28"/>
          <w:highlight w:val="none"/>
        </w:rPr>
        <w:sectPr>
          <w:pgSz w:w="11906" w:h="16838"/>
          <w:pgMar w:top="1440" w:right="1800" w:bottom="1440" w:left="1800" w:header="851" w:footer="992" w:gutter="0"/>
          <w:cols w:space="425" w:num="1"/>
          <w:docGrid w:type="lines" w:linePitch="312" w:charSpace="0"/>
        </w:sectPr>
      </w:pPr>
      <w:r>
        <w:rPr>
          <w:rFonts w:hint="eastAsia" w:ascii="宋体" w:hAnsi="宋体" w:cs="宋体"/>
          <w:color w:val="auto"/>
          <w:sz w:val="28"/>
          <w:szCs w:val="28"/>
          <w:highlight w:val="none"/>
        </w:rPr>
        <w:t>因此，本项目在财务上是可行的。</w:t>
      </w:r>
    </w:p>
    <w:p>
      <w:pPr>
        <w:pStyle w:val="45"/>
        <w:spacing w:beforeLines="0" w:afterLines="0" w:line="560" w:lineRule="exact"/>
        <w:ind w:firstLine="31680"/>
        <w:rPr>
          <w:color w:val="auto"/>
          <w:szCs w:val="32"/>
          <w:highlight w:val="none"/>
          <w:lang w:val="zh-CN"/>
        </w:rPr>
      </w:pPr>
      <w:bookmarkStart w:id="1528" w:name="_Toc24234"/>
      <w:bookmarkStart w:id="1529" w:name="_Toc10989"/>
      <w:bookmarkStart w:id="1530" w:name="_Toc1918_WPSOffice_Level1"/>
      <w:bookmarkStart w:id="1531" w:name="_Toc14279_WPSOffice_Level1"/>
      <w:bookmarkStart w:id="1532" w:name="_Toc28722"/>
      <w:bookmarkStart w:id="1533" w:name="_Toc22523_WPSOffice_Level1"/>
      <w:bookmarkStart w:id="1534" w:name="_Toc10943_WPSOffice_Level1"/>
      <w:bookmarkStart w:id="1535" w:name="_Toc23483"/>
      <w:bookmarkStart w:id="1536" w:name="_Toc18867"/>
      <w:bookmarkStart w:id="1537" w:name="_Toc26071"/>
      <w:r>
        <w:rPr>
          <w:rFonts w:hint="eastAsia"/>
          <w:color w:val="auto"/>
          <w:szCs w:val="32"/>
          <w:highlight w:val="none"/>
          <w:lang w:val="zh-CN"/>
        </w:rPr>
        <w:t>第十七章</w:t>
      </w:r>
      <w:r>
        <w:rPr>
          <w:color w:val="auto"/>
          <w:szCs w:val="32"/>
          <w:highlight w:val="none"/>
          <w:lang w:val="zh-CN"/>
        </w:rPr>
        <w:t xml:space="preserve"> </w:t>
      </w:r>
      <w:r>
        <w:rPr>
          <w:rFonts w:hint="eastAsia"/>
          <w:color w:val="auto"/>
          <w:szCs w:val="32"/>
          <w:highlight w:val="none"/>
          <w:lang w:val="zh-CN"/>
        </w:rPr>
        <w:t>社会稳定性分析</w:t>
      </w:r>
      <w:bookmarkEnd w:id="1528"/>
      <w:bookmarkEnd w:id="1529"/>
      <w:bookmarkEnd w:id="1530"/>
      <w:bookmarkEnd w:id="1531"/>
      <w:bookmarkEnd w:id="1532"/>
      <w:bookmarkEnd w:id="1533"/>
      <w:bookmarkEnd w:id="1534"/>
      <w:bookmarkEnd w:id="1535"/>
      <w:bookmarkEnd w:id="1536"/>
      <w:bookmarkEnd w:id="1537"/>
    </w:p>
    <w:p>
      <w:pPr>
        <w:pStyle w:val="32"/>
        <w:numPr>
          <w:ilvl w:val="0"/>
          <w:numId w:val="4"/>
        </w:numPr>
        <w:spacing w:line="560" w:lineRule="exact"/>
        <w:ind w:firstLine="0" w:firstLineChars="0"/>
        <w:jc w:val="left"/>
        <w:outlineLvl w:val="1"/>
        <w:rPr>
          <w:rFonts w:ascii="宋体" w:cs="宋体"/>
          <w:bCs/>
          <w:vanish/>
          <w:color w:val="auto"/>
          <w:sz w:val="28"/>
          <w:szCs w:val="28"/>
          <w:highlight w:val="none"/>
        </w:rPr>
      </w:pPr>
      <w:bookmarkStart w:id="1538" w:name="_Toc492900345"/>
      <w:bookmarkEnd w:id="1538"/>
      <w:bookmarkStart w:id="1539" w:name="_Toc485072752"/>
      <w:bookmarkEnd w:id="1539"/>
      <w:bookmarkStart w:id="1540" w:name="_Toc485073156"/>
      <w:bookmarkEnd w:id="1540"/>
      <w:bookmarkStart w:id="1541" w:name="_Toc470509423"/>
      <w:bookmarkEnd w:id="1541"/>
      <w:bookmarkStart w:id="1542" w:name="_Toc468190105"/>
      <w:bookmarkEnd w:id="1542"/>
      <w:bookmarkStart w:id="1543" w:name="_Toc29923"/>
      <w:bookmarkEnd w:id="1543"/>
      <w:bookmarkStart w:id="1544" w:name="_Toc9852"/>
      <w:bookmarkEnd w:id="1544"/>
      <w:bookmarkStart w:id="1545" w:name="_Toc485148860"/>
      <w:bookmarkEnd w:id="1545"/>
      <w:bookmarkStart w:id="1546" w:name="_Toc485131259"/>
      <w:bookmarkEnd w:id="1546"/>
      <w:bookmarkStart w:id="1547" w:name="_Toc485072954"/>
      <w:bookmarkEnd w:id="1547"/>
      <w:bookmarkStart w:id="1548" w:name="_Toc472090573"/>
      <w:bookmarkEnd w:id="1548"/>
      <w:bookmarkStart w:id="1549" w:name="_Toc467420332"/>
      <w:bookmarkEnd w:id="1549"/>
      <w:bookmarkStart w:id="1550" w:name="_Toc467418960"/>
      <w:bookmarkEnd w:id="1550"/>
      <w:bookmarkStart w:id="1551" w:name="_Toc472090998"/>
      <w:bookmarkEnd w:id="1551"/>
      <w:bookmarkStart w:id="1552" w:name="_Toc485072550"/>
      <w:bookmarkEnd w:id="1552"/>
      <w:bookmarkStart w:id="1553" w:name="_Toc486495676"/>
      <w:bookmarkEnd w:id="1553"/>
      <w:bookmarkStart w:id="1554" w:name="_Toc475520133"/>
      <w:bookmarkEnd w:id="1554"/>
      <w:bookmarkStart w:id="1555" w:name="_Toc497731247"/>
      <w:bookmarkEnd w:id="1555"/>
      <w:bookmarkStart w:id="1556" w:name="_Toc474941351"/>
      <w:bookmarkEnd w:id="1556"/>
      <w:bookmarkStart w:id="1557" w:name="_Toc485071864"/>
      <w:bookmarkEnd w:id="1557"/>
      <w:bookmarkStart w:id="1558" w:name="_Toc485139607"/>
      <w:bookmarkEnd w:id="1558"/>
      <w:bookmarkStart w:id="1559" w:name="_Toc485071662"/>
      <w:bookmarkEnd w:id="1559"/>
      <w:bookmarkStart w:id="1560" w:name="_Toc485079229"/>
      <w:bookmarkEnd w:id="1560"/>
      <w:bookmarkStart w:id="1561" w:name="_Toc485131056"/>
      <w:bookmarkEnd w:id="1561"/>
      <w:bookmarkStart w:id="1562" w:name="_Toc486495406"/>
      <w:bookmarkEnd w:id="1562"/>
      <w:bookmarkStart w:id="1563" w:name="_Toc493755246"/>
      <w:bookmarkEnd w:id="1563"/>
      <w:bookmarkStart w:id="1564" w:name="_Toc5174"/>
      <w:bookmarkEnd w:id="1564"/>
      <w:bookmarkStart w:id="1565" w:name="_Toc496512829"/>
      <w:bookmarkEnd w:id="1565"/>
      <w:bookmarkStart w:id="1566" w:name="_Toc485139405"/>
      <w:bookmarkEnd w:id="1566"/>
      <w:bookmarkStart w:id="1567" w:name="_Toc467419487"/>
      <w:bookmarkEnd w:id="1567"/>
    </w:p>
    <w:p>
      <w:pPr>
        <w:pStyle w:val="32"/>
        <w:spacing w:line="560" w:lineRule="exact"/>
        <w:ind w:firstLine="31680"/>
        <w:jc w:val="left"/>
        <w:rPr>
          <w:rFonts w:ascii="宋体" w:cs="宋体"/>
          <w:color w:val="auto"/>
          <w:sz w:val="28"/>
          <w:szCs w:val="28"/>
          <w:highlight w:val="none"/>
          <w:lang w:val="en-GB"/>
        </w:rPr>
      </w:pPr>
      <w:bookmarkStart w:id="1568" w:name="_Toc27764_WPSOffice_Level1"/>
      <w:bookmarkStart w:id="1569" w:name="_Toc18427_WPSOffice_Level1"/>
      <w:bookmarkStart w:id="1570" w:name="_Toc892"/>
      <w:bookmarkStart w:id="1571" w:name="_Toc20095"/>
      <w:bookmarkStart w:id="1572" w:name="_Toc11722"/>
      <w:bookmarkStart w:id="1573" w:name="_Toc18197_WPSOffice_Level1"/>
      <w:bookmarkStart w:id="1574" w:name="_Toc29864"/>
      <w:bookmarkStart w:id="1575" w:name="_Toc9193"/>
      <w:bookmarkStart w:id="1576" w:name="_Toc27135_WPSOffice_Level1"/>
      <w:r>
        <w:rPr>
          <w:rFonts w:hint="eastAsia" w:ascii="宋体" w:hAnsi="宋体" w:cs="宋体"/>
          <w:color w:val="auto"/>
          <w:sz w:val="28"/>
          <w:szCs w:val="28"/>
          <w:highlight w:val="none"/>
          <w:lang w:val="en-GB"/>
        </w:rPr>
        <w:t>投资项目风险分析是在市场预测、工程建设、技术措施、资金筹措、财务分析、环境评价、社会评价等方面进行论证和初步的风险分析的基础上，进一步综合而系统地分析项目在建设和运营中潜在的主要风险因素，并通过判断和揭示风险来源和程度，提出风险规避对策，从而减少和降低损失，确保项目健康发展。</w:t>
      </w:r>
    </w:p>
    <w:p>
      <w:pPr>
        <w:pStyle w:val="32"/>
        <w:spacing w:line="560" w:lineRule="exact"/>
        <w:ind w:firstLine="31680"/>
        <w:jc w:val="left"/>
        <w:outlineLvl w:val="1"/>
        <w:rPr>
          <w:rFonts w:ascii="宋体" w:cs="宋体"/>
          <w:color w:val="auto"/>
          <w:sz w:val="28"/>
          <w:szCs w:val="28"/>
          <w:highlight w:val="none"/>
          <w:lang w:val="en-GB"/>
        </w:rPr>
      </w:pPr>
      <w:bookmarkStart w:id="1577" w:name="_Toc27261"/>
      <w:bookmarkStart w:id="1578" w:name="_Toc11889"/>
      <w:bookmarkStart w:id="1579" w:name="_Toc29375"/>
      <w:bookmarkStart w:id="1580" w:name="_Toc24955"/>
      <w:bookmarkStart w:id="1581" w:name="_Toc5916"/>
      <w:bookmarkStart w:id="1582" w:name="_Toc22260"/>
      <w:bookmarkStart w:id="1583" w:name="_Toc25352"/>
      <w:bookmarkStart w:id="1584" w:name="_Toc15544"/>
      <w:bookmarkStart w:id="1585" w:name="_Toc19379"/>
      <w:r>
        <w:rPr>
          <w:rFonts w:ascii="宋体" w:hAnsi="宋体" w:cs="宋体"/>
          <w:color w:val="auto"/>
          <w:sz w:val="28"/>
          <w:szCs w:val="28"/>
          <w:highlight w:val="none"/>
          <w:lang w:val="en-GB"/>
        </w:rPr>
        <w:t xml:space="preserve">17.1 </w:t>
      </w:r>
      <w:r>
        <w:rPr>
          <w:rFonts w:hint="eastAsia" w:ascii="宋体" w:hAnsi="宋体" w:cs="宋体"/>
          <w:color w:val="auto"/>
          <w:sz w:val="28"/>
          <w:szCs w:val="28"/>
          <w:highlight w:val="none"/>
          <w:lang w:val="en-GB"/>
        </w:rPr>
        <w:t>项目主要风险识别</w:t>
      </w:r>
      <w:bookmarkEnd w:id="1577"/>
      <w:bookmarkEnd w:id="1578"/>
      <w:bookmarkEnd w:id="1579"/>
      <w:bookmarkEnd w:id="1580"/>
      <w:bookmarkEnd w:id="1581"/>
      <w:bookmarkEnd w:id="1582"/>
      <w:bookmarkEnd w:id="1583"/>
      <w:bookmarkEnd w:id="1584"/>
      <w:bookmarkEnd w:id="1585"/>
    </w:p>
    <w:p>
      <w:pPr>
        <w:pStyle w:val="32"/>
        <w:spacing w:line="560" w:lineRule="exact"/>
        <w:ind w:firstLine="31680"/>
        <w:jc w:val="left"/>
        <w:rPr>
          <w:rFonts w:ascii="宋体" w:cs="宋体"/>
          <w:color w:val="auto"/>
          <w:sz w:val="28"/>
          <w:szCs w:val="28"/>
          <w:highlight w:val="none"/>
          <w:lang w:val="en-GB"/>
        </w:rPr>
      </w:pPr>
      <w:bookmarkStart w:id="1586" w:name="_Toc25864"/>
      <w:bookmarkStart w:id="1587" w:name="_Toc25871"/>
      <w:bookmarkStart w:id="1588" w:name="_Toc15329"/>
      <w:bookmarkStart w:id="1589" w:name="_Toc20045"/>
      <w:bookmarkStart w:id="1590" w:name="_Toc21335"/>
      <w:bookmarkStart w:id="1591" w:name="_Toc21737"/>
      <w:r>
        <w:rPr>
          <w:rFonts w:ascii="宋体" w:hAnsi="宋体" w:cs="宋体"/>
          <w:color w:val="auto"/>
          <w:sz w:val="28"/>
          <w:szCs w:val="28"/>
          <w:highlight w:val="none"/>
          <w:lang w:val="en-GB"/>
        </w:rPr>
        <w:t>17.1.1</w:t>
      </w:r>
      <w:r>
        <w:rPr>
          <w:rFonts w:hint="eastAsia" w:ascii="宋体" w:hAnsi="宋体" w:cs="宋体"/>
          <w:color w:val="auto"/>
          <w:sz w:val="28"/>
          <w:szCs w:val="28"/>
          <w:highlight w:val="none"/>
          <w:lang w:val="en-GB"/>
        </w:rPr>
        <w:t>资金风险</w:t>
      </w:r>
      <w:bookmarkEnd w:id="1586"/>
      <w:bookmarkEnd w:id="1587"/>
      <w:bookmarkEnd w:id="1588"/>
      <w:bookmarkEnd w:id="1589"/>
      <w:bookmarkEnd w:id="1590"/>
      <w:bookmarkEnd w:id="1591"/>
    </w:p>
    <w:p>
      <w:pPr>
        <w:pStyle w:val="32"/>
        <w:spacing w:line="560" w:lineRule="exact"/>
        <w:ind w:firstLine="31680"/>
        <w:jc w:val="left"/>
        <w:rPr>
          <w:rFonts w:ascii="宋体" w:cs="宋体"/>
          <w:color w:val="auto"/>
          <w:sz w:val="28"/>
          <w:szCs w:val="28"/>
          <w:highlight w:val="none"/>
          <w:lang w:val="en-GB"/>
        </w:rPr>
      </w:pPr>
      <w:r>
        <w:rPr>
          <w:rFonts w:hint="eastAsia" w:ascii="宋体" w:hAnsi="宋体" w:cs="宋体"/>
          <w:color w:val="auto"/>
          <w:sz w:val="28"/>
          <w:szCs w:val="28"/>
          <w:highlight w:val="none"/>
          <w:lang w:val="en-GB"/>
        </w:rPr>
        <w:t>由于项目建设工程特殊，建设资金投入大，所需建设资金因不可预见的原因造成资金供应不足或者来源中断，导致项目建设工期拖延甚至被迫终止，使项目预测的建设方案无法实现。</w:t>
      </w:r>
    </w:p>
    <w:p>
      <w:pPr>
        <w:pStyle w:val="32"/>
        <w:spacing w:line="560" w:lineRule="exact"/>
        <w:ind w:firstLine="31680"/>
        <w:jc w:val="left"/>
        <w:rPr>
          <w:rFonts w:ascii="宋体" w:cs="宋体"/>
          <w:color w:val="auto"/>
          <w:sz w:val="28"/>
          <w:szCs w:val="28"/>
          <w:highlight w:val="none"/>
          <w:lang w:val="en-GB"/>
        </w:rPr>
      </w:pPr>
      <w:bookmarkStart w:id="1592" w:name="_Toc14450"/>
      <w:bookmarkStart w:id="1593" w:name="_Toc23584"/>
      <w:bookmarkStart w:id="1594" w:name="_Toc11388"/>
      <w:bookmarkStart w:id="1595" w:name="_Toc1983"/>
      <w:bookmarkStart w:id="1596" w:name="_Toc18354"/>
      <w:bookmarkStart w:id="1597" w:name="_Toc12022"/>
      <w:r>
        <w:rPr>
          <w:rFonts w:ascii="宋体" w:hAnsi="宋体" w:cs="宋体"/>
          <w:color w:val="auto"/>
          <w:sz w:val="28"/>
          <w:szCs w:val="28"/>
          <w:highlight w:val="none"/>
          <w:lang w:val="en-GB"/>
        </w:rPr>
        <w:t>17.1.2</w:t>
      </w:r>
      <w:r>
        <w:rPr>
          <w:rFonts w:hint="eastAsia" w:ascii="宋体" w:hAnsi="宋体" w:cs="宋体"/>
          <w:color w:val="auto"/>
          <w:sz w:val="28"/>
          <w:szCs w:val="28"/>
          <w:highlight w:val="none"/>
          <w:lang w:val="en-GB"/>
        </w:rPr>
        <w:t>技术风险</w:t>
      </w:r>
      <w:bookmarkEnd w:id="1592"/>
      <w:bookmarkEnd w:id="1593"/>
      <w:bookmarkEnd w:id="1594"/>
      <w:bookmarkEnd w:id="1595"/>
      <w:bookmarkEnd w:id="1596"/>
      <w:bookmarkEnd w:id="1597"/>
    </w:p>
    <w:p>
      <w:pPr>
        <w:pStyle w:val="32"/>
        <w:spacing w:line="560" w:lineRule="exact"/>
        <w:ind w:firstLine="31680"/>
        <w:jc w:val="left"/>
        <w:rPr>
          <w:rFonts w:ascii="宋体" w:cs="宋体"/>
          <w:color w:val="auto"/>
          <w:sz w:val="28"/>
          <w:szCs w:val="28"/>
          <w:highlight w:val="none"/>
          <w:lang w:val="en-GB"/>
        </w:rPr>
      </w:pPr>
      <w:r>
        <w:rPr>
          <w:rFonts w:hint="eastAsia" w:ascii="宋体" w:hAnsi="宋体" w:cs="宋体"/>
          <w:color w:val="auto"/>
          <w:sz w:val="28"/>
          <w:szCs w:val="28"/>
          <w:highlight w:val="none"/>
          <w:lang w:val="en-GB"/>
        </w:rPr>
        <w:t>主要指项目技术的先进性、适用性、可靠性、可得性。项目技术直接影响项目地建设和正常运营，属关键因素。</w:t>
      </w:r>
    </w:p>
    <w:p>
      <w:pPr>
        <w:pStyle w:val="32"/>
        <w:spacing w:line="560" w:lineRule="exact"/>
        <w:ind w:firstLine="31680"/>
        <w:jc w:val="left"/>
        <w:rPr>
          <w:rFonts w:ascii="宋体" w:cs="宋体"/>
          <w:color w:val="auto"/>
          <w:sz w:val="28"/>
          <w:szCs w:val="28"/>
          <w:highlight w:val="none"/>
          <w:lang w:val="en-GB"/>
        </w:rPr>
      </w:pPr>
      <w:bookmarkStart w:id="1598" w:name="_Toc14958"/>
      <w:bookmarkStart w:id="1599" w:name="_Toc10102"/>
      <w:bookmarkStart w:id="1600" w:name="_Toc11832"/>
      <w:bookmarkStart w:id="1601" w:name="_Toc26805"/>
      <w:bookmarkStart w:id="1602" w:name="_Toc13200"/>
      <w:bookmarkStart w:id="1603" w:name="_Toc23328"/>
      <w:r>
        <w:rPr>
          <w:rFonts w:ascii="宋体" w:hAnsi="宋体" w:cs="宋体"/>
          <w:color w:val="auto"/>
          <w:sz w:val="28"/>
          <w:szCs w:val="28"/>
          <w:highlight w:val="none"/>
          <w:lang w:val="en-GB"/>
        </w:rPr>
        <w:t xml:space="preserve">17.1.3 </w:t>
      </w:r>
      <w:r>
        <w:rPr>
          <w:rFonts w:hint="eastAsia" w:ascii="宋体" w:hAnsi="宋体" w:cs="宋体"/>
          <w:color w:val="auto"/>
          <w:sz w:val="28"/>
          <w:szCs w:val="28"/>
          <w:highlight w:val="none"/>
          <w:lang w:val="en-GB"/>
        </w:rPr>
        <w:t>管理风险</w:t>
      </w:r>
      <w:bookmarkEnd w:id="1598"/>
      <w:bookmarkEnd w:id="1599"/>
      <w:bookmarkEnd w:id="1600"/>
      <w:bookmarkEnd w:id="1601"/>
      <w:bookmarkEnd w:id="1602"/>
      <w:bookmarkEnd w:id="1603"/>
    </w:p>
    <w:p>
      <w:pPr>
        <w:pStyle w:val="32"/>
        <w:spacing w:line="560" w:lineRule="exact"/>
        <w:ind w:firstLine="31680"/>
        <w:jc w:val="left"/>
        <w:rPr>
          <w:rFonts w:ascii="宋体" w:cs="宋体"/>
          <w:color w:val="auto"/>
          <w:sz w:val="28"/>
          <w:szCs w:val="28"/>
          <w:highlight w:val="none"/>
          <w:lang w:val="en-GB"/>
        </w:rPr>
      </w:pPr>
      <w:r>
        <w:rPr>
          <w:rFonts w:hint="eastAsia" w:ascii="宋体" w:hAnsi="宋体" w:cs="宋体"/>
          <w:color w:val="auto"/>
          <w:sz w:val="28"/>
          <w:szCs w:val="28"/>
          <w:highlight w:val="none"/>
          <w:lang w:val="en-GB"/>
        </w:rPr>
        <w:t>项目建设内容涉及面广，为了实现项目的各项目标，必须要有一个稳定高效的运行机制和一支高素质的项目管理人员队伍，熟悉项目管理的高素质人才毕竟较少，这样就不能很好完成投资管理、项目执行的检查评价、组织协调等方面细微而复杂的工作。</w:t>
      </w:r>
    </w:p>
    <w:p>
      <w:pPr>
        <w:pStyle w:val="32"/>
        <w:spacing w:line="560" w:lineRule="exact"/>
        <w:ind w:firstLine="31680"/>
        <w:jc w:val="left"/>
        <w:rPr>
          <w:rFonts w:ascii="宋体" w:cs="宋体"/>
          <w:color w:val="auto"/>
          <w:sz w:val="28"/>
          <w:szCs w:val="28"/>
          <w:highlight w:val="none"/>
          <w:lang w:val="en-GB"/>
        </w:rPr>
      </w:pPr>
      <w:bookmarkStart w:id="1604" w:name="_Toc14446"/>
      <w:bookmarkStart w:id="1605" w:name="_Toc18447"/>
      <w:bookmarkStart w:id="1606" w:name="_Toc9736"/>
      <w:bookmarkStart w:id="1607" w:name="_Toc13392"/>
      <w:bookmarkStart w:id="1608" w:name="_Toc10806"/>
      <w:r>
        <w:rPr>
          <w:rFonts w:ascii="宋体" w:hAnsi="宋体" w:cs="宋体"/>
          <w:color w:val="auto"/>
          <w:sz w:val="28"/>
          <w:szCs w:val="28"/>
          <w:highlight w:val="none"/>
          <w:lang w:val="en-GB"/>
        </w:rPr>
        <w:t xml:space="preserve">17.1.4 </w:t>
      </w:r>
      <w:r>
        <w:rPr>
          <w:rFonts w:hint="eastAsia" w:ascii="宋体" w:hAnsi="宋体" w:cs="宋体"/>
          <w:color w:val="auto"/>
          <w:sz w:val="28"/>
          <w:szCs w:val="28"/>
          <w:highlight w:val="none"/>
          <w:lang w:val="en-GB"/>
        </w:rPr>
        <w:t>工程风险</w:t>
      </w:r>
      <w:bookmarkEnd w:id="1604"/>
      <w:bookmarkEnd w:id="1605"/>
      <w:bookmarkEnd w:id="1606"/>
      <w:bookmarkEnd w:id="1607"/>
      <w:bookmarkEnd w:id="1608"/>
    </w:p>
    <w:p>
      <w:pPr>
        <w:pStyle w:val="32"/>
        <w:spacing w:line="560" w:lineRule="exact"/>
        <w:ind w:firstLine="31680"/>
        <w:jc w:val="left"/>
        <w:rPr>
          <w:rFonts w:ascii="宋体" w:cs="宋体"/>
          <w:color w:val="auto"/>
          <w:sz w:val="28"/>
          <w:szCs w:val="28"/>
          <w:highlight w:val="none"/>
          <w:lang w:val="en-GB"/>
        </w:rPr>
      </w:pPr>
      <w:r>
        <w:rPr>
          <w:rFonts w:hint="eastAsia" w:ascii="宋体" w:hAnsi="宋体" w:cs="宋体"/>
          <w:color w:val="auto"/>
          <w:sz w:val="28"/>
          <w:szCs w:val="28"/>
          <w:highlight w:val="none"/>
          <w:lang w:val="en-GB"/>
        </w:rPr>
        <w:t>主要指影响工程建设相关方面的风险因素，包括工程地质、水文地质、气候状况、建设工程量等。</w:t>
      </w:r>
    </w:p>
    <w:p>
      <w:pPr>
        <w:pStyle w:val="32"/>
        <w:spacing w:line="560" w:lineRule="exact"/>
        <w:ind w:firstLine="31680"/>
        <w:jc w:val="left"/>
        <w:rPr>
          <w:rFonts w:ascii="宋体" w:cs="宋体"/>
          <w:color w:val="auto"/>
          <w:sz w:val="28"/>
          <w:szCs w:val="28"/>
          <w:highlight w:val="none"/>
          <w:lang w:val="en-GB"/>
        </w:rPr>
      </w:pPr>
      <w:bookmarkStart w:id="1609" w:name="_Toc29993"/>
      <w:bookmarkStart w:id="1610" w:name="_Toc2498"/>
      <w:bookmarkStart w:id="1611" w:name="_Toc32586"/>
      <w:bookmarkStart w:id="1612" w:name="_Toc20445"/>
      <w:bookmarkStart w:id="1613" w:name="_Toc20008"/>
      <w:bookmarkStart w:id="1614" w:name="_Toc2402"/>
      <w:r>
        <w:rPr>
          <w:rFonts w:ascii="宋体" w:hAnsi="宋体" w:cs="宋体"/>
          <w:color w:val="auto"/>
          <w:sz w:val="28"/>
          <w:szCs w:val="28"/>
          <w:highlight w:val="none"/>
          <w:lang w:val="en-GB"/>
        </w:rPr>
        <w:t xml:space="preserve">17.1.5 </w:t>
      </w:r>
      <w:r>
        <w:rPr>
          <w:rFonts w:hint="eastAsia" w:ascii="宋体" w:hAnsi="宋体" w:cs="宋体"/>
          <w:color w:val="auto"/>
          <w:sz w:val="28"/>
          <w:szCs w:val="28"/>
          <w:highlight w:val="none"/>
          <w:lang w:val="en-GB"/>
        </w:rPr>
        <w:t>外部协作条件风险</w:t>
      </w:r>
      <w:bookmarkEnd w:id="1609"/>
      <w:bookmarkEnd w:id="1610"/>
      <w:bookmarkEnd w:id="1611"/>
      <w:bookmarkEnd w:id="1612"/>
      <w:bookmarkEnd w:id="1613"/>
      <w:bookmarkEnd w:id="1614"/>
    </w:p>
    <w:p>
      <w:pPr>
        <w:pStyle w:val="32"/>
        <w:spacing w:line="560" w:lineRule="exact"/>
        <w:ind w:firstLine="31680"/>
        <w:jc w:val="left"/>
        <w:rPr>
          <w:rFonts w:ascii="宋体" w:cs="宋体"/>
          <w:color w:val="auto"/>
          <w:sz w:val="28"/>
          <w:szCs w:val="28"/>
          <w:highlight w:val="none"/>
          <w:lang w:val="en-GB"/>
        </w:rPr>
      </w:pPr>
      <w:r>
        <w:rPr>
          <w:rFonts w:hint="eastAsia" w:ascii="宋体" w:hAnsi="宋体" w:cs="宋体"/>
          <w:color w:val="auto"/>
          <w:sz w:val="28"/>
          <w:szCs w:val="28"/>
          <w:highlight w:val="none"/>
          <w:lang w:val="en-GB"/>
        </w:rPr>
        <w:t>在项目建设和投入使用后的经营活动中，场地使用、供水、供电、供气、交通运输及合作单位等外部协作条件发生重大变化，给项目建设和经营带来困难。</w:t>
      </w:r>
    </w:p>
    <w:p>
      <w:pPr>
        <w:pStyle w:val="32"/>
        <w:spacing w:line="560" w:lineRule="exact"/>
        <w:ind w:firstLine="31680"/>
        <w:jc w:val="left"/>
        <w:outlineLvl w:val="1"/>
        <w:rPr>
          <w:rFonts w:ascii="宋体" w:cs="宋体"/>
          <w:color w:val="auto"/>
          <w:sz w:val="28"/>
          <w:szCs w:val="28"/>
          <w:highlight w:val="none"/>
          <w:lang w:val="en-GB"/>
        </w:rPr>
      </w:pPr>
      <w:bookmarkStart w:id="1615" w:name="_Toc21748"/>
      <w:bookmarkStart w:id="1616" w:name="_Toc30971"/>
      <w:bookmarkStart w:id="1617" w:name="_Toc31206"/>
      <w:bookmarkStart w:id="1618" w:name="_Toc31331"/>
      <w:bookmarkStart w:id="1619" w:name="_Toc7824"/>
      <w:bookmarkStart w:id="1620" w:name="_Toc4660"/>
      <w:bookmarkStart w:id="1621" w:name="_Toc12852"/>
      <w:bookmarkStart w:id="1622" w:name="_Toc29255"/>
      <w:bookmarkStart w:id="1623" w:name="_Toc13470"/>
      <w:bookmarkStart w:id="1624" w:name="_Toc30534"/>
      <w:bookmarkStart w:id="1625" w:name="_Toc3129"/>
      <w:r>
        <w:rPr>
          <w:rFonts w:ascii="宋体" w:hAnsi="宋体" w:cs="宋体"/>
          <w:color w:val="auto"/>
          <w:sz w:val="28"/>
          <w:szCs w:val="28"/>
          <w:highlight w:val="none"/>
          <w:lang w:val="en-GB"/>
        </w:rPr>
        <w:t xml:space="preserve">17.2 </w:t>
      </w:r>
      <w:r>
        <w:rPr>
          <w:rFonts w:hint="eastAsia" w:ascii="宋体" w:hAnsi="宋体" w:cs="宋体"/>
          <w:color w:val="auto"/>
          <w:sz w:val="28"/>
          <w:szCs w:val="28"/>
          <w:highlight w:val="none"/>
          <w:lang w:val="en-GB"/>
        </w:rPr>
        <w:t>风险程度分析</w:t>
      </w:r>
      <w:bookmarkEnd w:id="1615"/>
      <w:bookmarkEnd w:id="1616"/>
      <w:bookmarkEnd w:id="1617"/>
      <w:bookmarkEnd w:id="1618"/>
      <w:bookmarkEnd w:id="1619"/>
      <w:bookmarkEnd w:id="1620"/>
      <w:bookmarkEnd w:id="1621"/>
      <w:bookmarkEnd w:id="1622"/>
      <w:bookmarkEnd w:id="1623"/>
      <w:bookmarkEnd w:id="1624"/>
      <w:bookmarkEnd w:id="1625"/>
    </w:p>
    <w:p>
      <w:pPr>
        <w:pStyle w:val="32"/>
        <w:spacing w:line="560" w:lineRule="exact"/>
        <w:ind w:firstLine="31680"/>
        <w:jc w:val="left"/>
        <w:rPr>
          <w:rFonts w:ascii="宋体" w:cs="宋体"/>
          <w:color w:val="auto"/>
          <w:sz w:val="28"/>
          <w:szCs w:val="28"/>
          <w:highlight w:val="none"/>
          <w:lang w:val="en-GB"/>
        </w:rPr>
      </w:pPr>
      <w:r>
        <w:rPr>
          <w:rFonts w:hint="eastAsia" w:ascii="宋体" w:hAnsi="宋体" w:cs="宋体"/>
          <w:color w:val="auto"/>
          <w:sz w:val="28"/>
          <w:szCs w:val="28"/>
          <w:highlight w:val="none"/>
          <w:lang w:val="en-GB"/>
        </w:rPr>
        <w:t>项目采用专家评估法对项目风险因素和风险程度进行了分析，评估结果为：影响项目的主要风险因素是资金与管理。详见下表</w:t>
      </w:r>
      <w:r>
        <w:rPr>
          <w:rFonts w:ascii="宋体" w:hAnsi="宋体" w:cs="宋体"/>
          <w:color w:val="auto"/>
          <w:sz w:val="28"/>
          <w:szCs w:val="28"/>
          <w:highlight w:val="none"/>
          <w:lang w:val="en-GB"/>
        </w:rPr>
        <w:t>17.2-1</w:t>
      </w:r>
      <w:r>
        <w:rPr>
          <w:rFonts w:hint="eastAsia" w:ascii="宋体" w:hAnsi="宋体" w:cs="宋体"/>
          <w:color w:val="auto"/>
          <w:sz w:val="28"/>
          <w:szCs w:val="28"/>
          <w:highlight w:val="none"/>
          <w:lang w:val="en-GB"/>
        </w:rPr>
        <w:t>。</w:t>
      </w:r>
    </w:p>
    <w:p>
      <w:pPr>
        <w:pStyle w:val="33"/>
        <w:spacing w:line="560" w:lineRule="exact"/>
        <w:ind w:firstLine="0" w:firstLineChars="0"/>
        <w:jc w:val="center"/>
        <w:rPr>
          <w:color w:val="auto"/>
          <w:sz w:val="24"/>
          <w:szCs w:val="24"/>
          <w:highlight w:val="none"/>
        </w:rPr>
      </w:pPr>
      <w:r>
        <w:rPr>
          <w:rFonts w:hint="eastAsia"/>
          <w:color w:val="auto"/>
          <w:sz w:val="24"/>
          <w:szCs w:val="24"/>
          <w:highlight w:val="none"/>
        </w:rPr>
        <w:t>表</w:t>
      </w:r>
      <w:r>
        <w:rPr>
          <w:color w:val="auto"/>
          <w:sz w:val="24"/>
          <w:szCs w:val="24"/>
          <w:highlight w:val="none"/>
        </w:rPr>
        <w:t xml:space="preserve">17.2-1  </w:t>
      </w:r>
      <w:r>
        <w:rPr>
          <w:rFonts w:hint="eastAsia"/>
          <w:color w:val="auto"/>
          <w:sz w:val="24"/>
          <w:szCs w:val="24"/>
          <w:highlight w:val="none"/>
        </w:rPr>
        <w:t>主要风险因素和风险程度分析表</w:t>
      </w:r>
    </w:p>
    <w:tbl>
      <w:tblPr>
        <w:tblStyle w:val="16"/>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32"/>
        <w:gridCol w:w="3140"/>
        <w:gridCol w:w="977"/>
        <w:gridCol w:w="912"/>
        <w:gridCol w:w="912"/>
        <w:gridCol w:w="915"/>
        <w:gridCol w:w="8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Merge w:val="restar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序号</w:t>
            </w:r>
          </w:p>
        </w:tc>
        <w:tc>
          <w:tcPr>
            <w:tcW w:w="1842" w:type="pct"/>
            <w:vMerge w:val="restar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风险因素名称</w:t>
            </w:r>
          </w:p>
        </w:tc>
        <w:tc>
          <w:tcPr>
            <w:tcW w:w="2180" w:type="pct"/>
            <w:gridSpan w:val="4"/>
            <w:vAlign w:val="center"/>
          </w:tcPr>
          <w:p>
            <w:pPr>
              <w:spacing w:line="400" w:lineRule="exact"/>
              <w:jc w:val="center"/>
              <w:rPr>
                <w:rFonts w:ascii="宋体"/>
                <w:color w:val="auto"/>
                <w:szCs w:val="21"/>
                <w:highlight w:val="none"/>
              </w:rPr>
            </w:pPr>
            <w:r>
              <w:rPr>
                <w:rFonts w:hint="eastAsia" w:ascii="宋体" w:hAnsi="宋体"/>
                <w:color w:val="auto"/>
                <w:szCs w:val="21"/>
                <w:highlight w:val="none"/>
              </w:rPr>
              <w:t>风险程度</w:t>
            </w:r>
          </w:p>
        </w:tc>
        <w:tc>
          <w:tcPr>
            <w:tcW w:w="488" w:type="pct"/>
            <w:vMerge w:val="restar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Merge w:val="continue"/>
            <w:vAlign w:val="center"/>
          </w:tcPr>
          <w:p>
            <w:pPr>
              <w:spacing w:line="400" w:lineRule="exact"/>
              <w:jc w:val="center"/>
              <w:rPr>
                <w:rFonts w:ascii="宋体"/>
                <w:color w:val="auto"/>
                <w:szCs w:val="21"/>
                <w:highlight w:val="none"/>
              </w:rPr>
            </w:pPr>
          </w:p>
        </w:tc>
        <w:tc>
          <w:tcPr>
            <w:tcW w:w="1842" w:type="pct"/>
            <w:vMerge w:val="continue"/>
            <w:vAlign w:val="center"/>
          </w:tcPr>
          <w:p>
            <w:pPr>
              <w:spacing w:line="400" w:lineRule="exact"/>
              <w:jc w:val="center"/>
              <w:rPr>
                <w:rFonts w:ascii="宋体"/>
                <w:color w:val="auto"/>
                <w:szCs w:val="21"/>
                <w:highlight w:val="none"/>
              </w:rPr>
            </w:pP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灾难性</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严重</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较大</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一般</w:t>
            </w:r>
          </w:p>
        </w:tc>
        <w:tc>
          <w:tcPr>
            <w:tcW w:w="488" w:type="pct"/>
            <w:vMerge w:val="continue"/>
            <w:vAlign w:val="center"/>
          </w:tcPr>
          <w:p>
            <w:pPr>
              <w:spacing w:line="400" w:lineRule="exact"/>
              <w:jc w:val="center"/>
              <w:rPr>
                <w:rFonts w:asci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1</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资金风险</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1.1</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资金来源中断</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912" w:type="dxa"/>
            <w:vAlign w:val="center"/>
          </w:tcPr>
          <w:p>
            <w:pPr>
              <w:spacing w:line="400" w:lineRule="exact"/>
              <w:jc w:val="center"/>
              <w:rPr>
                <w:rFonts w:ascii="宋体"/>
                <w:color w:val="auto"/>
                <w:szCs w:val="21"/>
                <w:highlight w:val="none"/>
              </w:rPr>
            </w:pPr>
          </w:p>
        </w:tc>
        <w:tc>
          <w:tcPr>
            <w:tcW w:w="915" w:type="dxa"/>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1.2</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资金供应不足</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912" w:type="dxa"/>
            <w:vAlign w:val="center"/>
          </w:tcPr>
          <w:p>
            <w:pPr>
              <w:spacing w:line="400" w:lineRule="exact"/>
              <w:jc w:val="center"/>
              <w:rPr>
                <w:rFonts w:ascii="宋体"/>
                <w:color w:val="auto"/>
                <w:szCs w:val="21"/>
                <w:highlight w:val="none"/>
              </w:rPr>
            </w:pPr>
          </w:p>
        </w:tc>
        <w:tc>
          <w:tcPr>
            <w:tcW w:w="915" w:type="dxa"/>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2</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技术风险</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2.1</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先进性</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2.2</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适用性</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2.3</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可靠性</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2.4</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可得性</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3</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管理风险</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p>
        </w:tc>
        <w:tc>
          <w:tcPr>
            <w:tcW w:w="488" w:type="pct"/>
            <w:vAlign w:val="center"/>
          </w:tcPr>
          <w:p>
            <w:pPr>
              <w:spacing w:line="400" w:lineRule="exact"/>
              <w:jc w:val="center"/>
              <w:rPr>
                <w:rFonts w:asci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3.1</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经营方式</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3.2</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管理能力</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3.3</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组织机构</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4</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工程风险</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4.1</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工程地质</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4.2</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水文地质</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4.3</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气候状况</w:t>
            </w:r>
          </w:p>
        </w:tc>
        <w:tc>
          <w:tcPr>
            <w:tcW w:w="573" w:type="pct"/>
            <w:vAlign w:val="center"/>
          </w:tcPr>
          <w:p>
            <w:pPr>
              <w:spacing w:line="400" w:lineRule="exact"/>
              <w:jc w:val="center"/>
              <w:rPr>
                <w:rFonts w:ascii="宋体"/>
                <w:color w:val="auto"/>
                <w:szCs w:val="21"/>
                <w:highlight w:val="none"/>
              </w:rPr>
            </w:pPr>
          </w:p>
        </w:tc>
        <w:tc>
          <w:tcPr>
            <w:tcW w:w="535" w:type="pct"/>
            <w:vAlign w:val="center"/>
          </w:tcPr>
          <w:p>
            <w:pPr>
              <w:spacing w:line="400" w:lineRule="exact"/>
              <w:jc w:val="center"/>
              <w:rPr>
                <w:rFonts w:ascii="宋体"/>
                <w:color w:val="auto"/>
                <w:szCs w:val="21"/>
                <w:highlight w:val="none"/>
              </w:rPr>
            </w:pPr>
          </w:p>
        </w:tc>
        <w:tc>
          <w:tcPr>
            <w:tcW w:w="535" w:type="pct"/>
            <w:vAlign w:val="center"/>
          </w:tcPr>
          <w:p>
            <w:pPr>
              <w:spacing w:line="400" w:lineRule="exact"/>
              <w:jc w:val="center"/>
              <w:rPr>
                <w:rFonts w:ascii="宋体"/>
                <w:color w:val="auto"/>
                <w:szCs w:val="21"/>
                <w:highlight w:val="none"/>
              </w:rPr>
            </w:pP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w:t>
            </w:r>
          </w:p>
        </w:tc>
        <w:tc>
          <w:tcPr>
            <w:tcW w:w="488" w:type="pct"/>
            <w:vAlign w:val="center"/>
          </w:tcPr>
          <w:p>
            <w:pPr>
              <w:spacing w:line="400" w:lineRule="exact"/>
              <w:jc w:val="center"/>
              <w:rPr>
                <w:rFonts w:asci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4.4</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工程量</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5</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外部协作条件风险</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5.1</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交通运输</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5.2</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供水</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88" w:type="pct"/>
            <w:vAlign w:val="center"/>
          </w:tcPr>
          <w:p>
            <w:pPr>
              <w:spacing w:line="400" w:lineRule="exact"/>
              <w:jc w:val="center"/>
              <w:rPr>
                <w:rFonts w:ascii="宋体"/>
                <w:color w:val="auto"/>
                <w:szCs w:val="21"/>
                <w:highlight w:val="none"/>
              </w:rPr>
            </w:pPr>
            <w:r>
              <w:rPr>
                <w:rFonts w:ascii="宋体" w:hAnsi="宋体"/>
                <w:color w:val="auto"/>
                <w:szCs w:val="21"/>
                <w:highlight w:val="none"/>
              </w:rPr>
              <w:t>5.3</w:t>
            </w:r>
          </w:p>
        </w:tc>
        <w:tc>
          <w:tcPr>
            <w:tcW w:w="1842"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供电</w:t>
            </w:r>
          </w:p>
        </w:tc>
        <w:tc>
          <w:tcPr>
            <w:tcW w:w="573"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535"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c>
          <w:tcPr>
            <w:tcW w:w="488" w:type="pct"/>
            <w:vAlign w:val="center"/>
          </w:tcPr>
          <w:p>
            <w:pPr>
              <w:spacing w:line="400" w:lineRule="exact"/>
              <w:jc w:val="center"/>
              <w:rPr>
                <w:rFonts w:ascii="宋体"/>
                <w:color w:val="auto"/>
                <w:szCs w:val="21"/>
                <w:highlight w:val="none"/>
              </w:rPr>
            </w:pPr>
            <w:r>
              <w:rPr>
                <w:rFonts w:hint="eastAsia" w:ascii="宋体" w:hAnsi="宋体"/>
                <w:color w:val="auto"/>
                <w:szCs w:val="21"/>
                <w:highlight w:val="none"/>
              </w:rPr>
              <w:t>　</w:t>
            </w:r>
          </w:p>
        </w:tc>
      </w:tr>
    </w:tbl>
    <w:p>
      <w:pPr>
        <w:pStyle w:val="32"/>
        <w:spacing w:line="560" w:lineRule="exact"/>
        <w:ind w:firstLine="31680"/>
        <w:jc w:val="left"/>
        <w:outlineLvl w:val="1"/>
        <w:rPr>
          <w:rFonts w:ascii="宋体" w:cs="宋体"/>
          <w:color w:val="auto"/>
          <w:sz w:val="28"/>
          <w:szCs w:val="28"/>
          <w:highlight w:val="none"/>
          <w:lang w:val="en-GB"/>
        </w:rPr>
      </w:pPr>
      <w:bookmarkStart w:id="1626" w:name="_Toc16132"/>
      <w:bookmarkStart w:id="1627" w:name="_Toc26080"/>
      <w:bookmarkStart w:id="1628" w:name="_Toc15559"/>
      <w:bookmarkStart w:id="1629" w:name="_Toc7977"/>
      <w:bookmarkStart w:id="1630" w:name="_Toc13711"/>
      <w:bookmarkStart w:id="1631" w:name="_Toc5994"/>
      <w:bookmarkStart w:id="1632" w:name="_Toc18602"/>
      <w:bookmarkStart w:id="1633" w:name="_Toc7124"/>
      <w:bookmarkStart w:id="1634" w:name="_Toc1895"/>
      <w:bookmarkStart w:id="1635" w:name="_Toc30933"/>
      <w:bookmarkStart w:id="1636" w:name="_Toc13284"/>
      <w:r>
        <w:rPr>
          <w:rFonts w:ascii="宋体" w:hAnsi="宋体" w:cs="宋体"/>
          <w:color w:val="auto"/>
          <w:sz w:val="28"/>
          <w:szCs w:val="28"/>
          <w:highlight w:val="none"/>
          <w:lang w:val="en-GB"/>
        </w:rPr>
        <w:t xml:space="preserve">17.3 </w:t>
      </w:r>
      <w:r>
        <w:rPr>
          <w:rFonts w:hint="eastAsia" w:ascii="宋体" w:hAnsi="宋体" w:cs="宋体"/>
          <w:color w:val="auto"/>
          <w:sz w:val="28"/>
          <w:szCs w:val="28"/>
          <w:highlight w:val="none"/>
          <w:lang w:val="en-GB"/>
        </w:rPr>
        <w:t>防范风险对策</w:t>
      </w:r>
      <w:bookmarkEnd w:id="1626"/>
      <w:bookmarkEnd w:id="1627"/>
      <w:bookmarkEnd w:id="1628"/>
      <w:bookmarkEnd w:id="1629"/>
      <w:bookmarkEnd w:id="1630"/>
      <w:bookmarkEnd w:id="1631"/>
      <w:bookmarkEnd w:id="1632"/>
      <w:bookmarkEnd w:id="1633"/>
      <w:bookmarkEnd w:id="1634"/>
      <w:bookmarkEnd w:id="1635"/>
      <w:bookmarkEnd w:id="1636"/>
    </w:p>
    <w:p>
      <w:pPr>
        <w:pStyle w:val="32"/>
        <w:spacing w:line="560" w:lineRule="exact"/>
        <w:ind w:firstLine="31680"/>
        <w:jc w:val="left"/>
        <w:rPr>
          <w:rFonts w:ascii="宋体" w:cs="宋体"/>
          <w:color w:val="auto"/>
          <w:sz w:val="28"/>
          <w:szCs w:val="28"/>
          <w:highlight w:val="none"/>
          <w:lang w:val="en-GB"/>
        </w:rPr>
      </w:pPr>
      <w:r>
        <w:rPr>
          <w:rFonts w:ascii="宋体" w:hAnsi="宋体" w:cs="宋体"/>
          <w:color w:val="auto"/>
          <w:sz w:val="28"/>
          <w:szCs w:val="28"/>
          <w:highlight w:val="none"/>
          <w:lang w:val="en-GB"/>
        </w:rPr>
        <w:t>(1)</w:t>
      </w:r>
      <w:r>
        <w:rPr>
          <w:rFonts w:hint="eastAsia" w:ascii="宋体" w:hAnsi="宋体" w:cs="宋体"/>
          <w:color w:val="auto"/>
          <w:sz w:val="28"/>
          <w:szCs w:val="28"/>
          <w:highlight w:val="none"/>
          <w:lang w:val="en-GB"/>
        </w:rPr>
        <w:t>认真落实项目资金，并按照上级要求及项目要求使用资金。</w:t>
      </w:r>
    </w:p>
    <w:p>
      <w:pPr>
        <w:pStyle w:val="32"/>
        <w:spacing w:line="560" w:lineRule="exact"/>
        <w:ind w:firstLine="31680"/>
        <w:jc w:val="left"/>
        <w:rPr>
          <w:rFonts w:ascii="宋体" w:cs="宋体"/>
          <w:color w:val="auto"/>
          <w:sz w:val="28"/>
          <w:szCs w:val="28"/>
          <w:highlight w:val="none"/>
          <w:lang w:val="en-GB"/>
        </w:rPr>
      </w:pPr>
      <w:r>
        <w:rPr>
          <w:rFonts w:ascii="宋体" w:hAnsi="宋体" w:cs="宋体"/>
          <w:color w:val="auto"/>
          <w:sz w:val="28"/>
          <w:szCs w:val="28"/>
          <w:highlight w:val="none"/>
          <w:lang w:val="en-GB"/>
        </w:rPr>
        <w:t>(2)</w:t>
      </w:r>
      <w:r>
        <w:rPr>
          <w:rFonts w:hint="eastAsia" w:ascii="宋体" w:hAnsi="宋体" w:cs="宋体"/>
          <w:color w:val="auto"/>
          <w:sz w:val="28"/>
          <w:szCs w:val="28"/>
          <w:highlight w:val="none"/>
          <w:lang w:val="en-GB"/>
        </w:rPr>
        <w:t>积极筹措项目配套资金，使投资在建设当中全额到位。</w:t>
      </w:r>
    </w:p>
    <w:p>
      <w:pPr>
        <w:pStyle w:val="32"/>
        <w:spacing w:line="560" w:lineRule="exact"/>
        <w:ind w:firstLine="31680"/>
        <w:jc w:val="left"/>
        <w:rPr>
          <w:rFonts w:ascii="宋体" w:cs="宋体"/>
          <w:color w:val="auto"/>
          <w:sz w:val="28"/>
          <w:szCs w:val="28"/>
          <w:highlight w:val="none"/>
          <w:lang w:val="en-GB"/>
        </w:rPr>
      </w:pPr>
      <w:r>
        <w:rPr>
          <w:rFonts w:ascii="宋体" w:hAnsi="宋体" w:cs="宋体"/>
          <w:color w:val="auto"/>
          <w:sz w:val="28"/>
          <w:szCs w:val="28"/>
          <w:highlight w:val="none"/>
          <w:lang w:val="en-GB"/>
        </w:rPr>
        <w:t>(3)</w:t>
      </w:r>
      <w:r>
        <w:rPr>
          <w:rFonts w:hint="eastAsia" w:ascii="宋体" w:hAnsi="宋体" w:cs="宋体"/>
          <w:color w:val="auto"/>
          <w:sz w:val="28"/>
          <w:szCs w:val="28"/>
          <w:highlight w:val="none"/>
          <w:lang w:val="en-GB"/>
        </w:rPr>
        <w:t>高质量地完成项目资金使用计划，尽可能高速度地完成采购和支付工作。</w:t>
      </w:r>
    </w:p>
    <w:p>
      <w:pPr>
        <w:pStyle w:val="32"/>
        <w:spacing w:line="560" w:lineRule="exact"/>
        <w:ind w:firstLine="31680"/>
        <w:jc w:val="left"/>
        <w:rPr>
          <w:rFonts w:ascii="宋体" w:cs="宋体"/>
          <w:color w:val="auto"/>
          <w:sz w:val="28"/>
          <w:szCs w:val="28"/>
          <w:highlight w:val="none"/>
          <w:lang w:val="en-GB"/>
        </w:rPr>
        <w:sectPr>
          <w:pgSz w:w="11906" w:h="16838"/>
          <w:pgMar w:top="1440" w:right="1800" w:bottom="1440" w:left="1800" w:header="851" w:footer="992" w:gutter="0"/>
          <w:cols w:space="425" w:num="1"/>
          <w:docGrid w:type="lines" w:linePitch="312" w:charSpace="0"/>
        </w:sectPr>
      </w:pPr>
      <w:r>
        <w:rPr>
          <w:rFonts w:ascii="宋体" w:hAnsi="宋体" w:cs="宋体"/>
          <w:color w:val="auto"/>
          <w:sz w:val="28"/>
          <w:szCs w:val="28"/>
          <w:highlight w:val="none"/>
          <w:lang w:val="en-GB"/>
        </w:rPr>
        <w:t>(4)</w:t>
      </w:r>
      <w:r>
        <w:rPr>
          <w:rFonts w:hint="eastAsia" w:ascii="宋体" w:hAnsi="宋体" w:cs="宋体"/>
          <w:color w:val="auto"/>
          <w:sz w:val="28"/>
          <w:szCs w:val="28"/>
          <w:highlight w:val="none"/>
          <w:lang w:val="en-GB"/>
        </w:rPr>
        <w:t>加强财务管理，增收节支，节能降耗，管理增效。</w:t>
      </w:r>
    </w:p>
    <w:p>
      <w:pPr>
        <w:pStyle w:val="45"/>
        <w:spacing w:beforeLines="0" w:afterLines="0" w:line="560" w:lineRule="exact"/>
        <w:ind w:firstLine="31680"/>
        <w:rPr>
          <w:color w:val="auto"/>
          <w:szCs w:val="32"/>
          <w:highlight w:val="none"/>
          <w:lang w:val="zh-CN"/>
        </w:rPr>
      </w:pPr>
      <w:bookmarkStart w:id="1637" w:name="_Toc20421"/>
      <w:r>
        <w:rPr>
          <w:rFonts w:hint="eastAsia"/>
          <w:color w:val="auto"/>
          <w:szCs w:val="32"/>
          <w:highlight w:val="none"/>
          <w:lang w:val="zh-CN"/>
        </w:rPr>
        <w:t>第十八章</w:t>
      </w:r>
      <w:r>
        <w:rPr>
          <w:color w:val="auto"/>
          <w:szCs w:val="32"/>
          <w:highlight w:val="none"/>
          <w:lang w:val="zh-CN"/>
        </w:rPr>
        <w:t xml:space="preserve">  </w:t>
      </w:r>
      <w:r>
        <w:rPr>
          <w:rFonts w:hint="eastAsia"/>
          <w:color w:val="auto"/>
          <w:szCs w:val="32"/>
          <w:highlight w:val="none"/>
          <w:lang w:val="zh-CN"/>
        </w:rPr>
        <w:t>结论</w:t>
      </w:r>
      <w:bookmarkEnd w:id="1568"/>
      <w:bookmarkEnd w:id="1569"/>
      <w:bookmarkEnd w:id="1570"/>
      <w:bookmarkEnd w:id="1571"/>
      <w:bookmarkEnd w:id="1572"/>
      <w:bookmarkEnd w:id="1573"/>
      <w:bookmarkEnd w:id="1574"/>
      <w:bookmarkEnd w:id="1575"/>
      <w:bookmarkEnd w:id="1576"/>
      <w:bookmarkEnd w:id="1637"/>
    </w:p>
    <w:p>
      <w:pPr>
        <w:pStyle w:val="32"/>
        <w:numPr>
          <w:ilvl w:val="0"/>
          <w:numId w:val="7"/>
        </w:numPr>
        <w:spacing w:line="560" w:lineRule="exact"/>
        <w:ind w:firstLineChars="0"/>
        <w:jc w:val="left"/>
        <w:rPr>
          <w:rFonts w:ascii="宋体" w:cs="宋体"/>
          <w:bCs/>
          <w:color w:val="auto"/>
          <w:sz w:val="28"/>
          <w:szCs w:val="28"/>
          <w:highlight w:val="none"/>
        </w:rPr>
      </w:pPr>
      <w:r>
        <w:rPr>
          <w:rFonts w:hint="eastAsia" w:ascii="宋体" w:hAnsi="宋体" w:cs="宋体"/>
          <w:bCs/>
          <w:color w:val="auto"/>
          <w:sz w:val="28"/>
          <w:szCs w:val="28"/>
          <w:highlight w:val="none"/>
        </w:rPr>
        <w:t>本项目江苏索普新材料科技有限公司内部，位于镇江新区，地处化工园区新材料产业园内，区内有完备的汽、电、水供应及污水处理系统；符合国家产业政策、土地利用政策和地方规划要求。</w:t>
      </w:r>
    </w:p>
    <w:p>
      <w:pPr>
        <w:pStyle w:val="32"/>
        <w:numPr>
          <w:ilvl w:val="0"/>
          <w:numId w:val="7"/>
        </w:numPr>
        <w:spacing w:line="560" w:lineRule="exact"/>
        <w:ind w:firstLineChars="0"/>
        <w:jc w:val="left"/>
        <w:rPr>
          <w:rFonts w:hint="eastAsia" w:ascii="宋体" w:hAnsi="宋体" w:cs="宋体"/>
          <w:bCs/>
          <w:color w:val="auto"/>
          <w:sz w:val="28"/>
          <w:szCs w:val="28"/>
          <w:highlight w:val="none"/>
        </w:rPr>
      </w:pPr>
      <w:r>
        <w:rPr>
          <w:rFonts w:hint="eastAsia" w:ascii="宋体" w:hAnsi="宋体" w:cs="宋体"/>
          <w:bCs/>
          <w:color w:val="auto"/>
          <w:sz w:val="28"/>
          <w:szCs w:val="28"/>
          <w:highlight w:val="none"/>
        </w:rPr>
        <w:t>本项目厂址地处长三角地区，经济发达，工业基础雄厚；加上长江黄金水道，使本项目拥有优越的区位优势。</w:t>
      </w:r>
    </w:p>
    <w:p>
      <w:pPr>
        <w:pStyle w:val="32"/>
        <w:numPr>
          <w:ilvl w:val="0"/>
          <w:numId w:val="7"/>
        </w:numPr>
        <w:spacing w:line="560" w:lineRule="exact"/>
        <w:ind w:firstLineChars="0"/>
        <w:jc w:val="left"/>
        <w:rPr>
          <w:rFonts w:ascii="宋体" w:cs="宋体"/>
          <w:bCs/>
          <w:color w:val="auto"/>
          <w:sz w:val="28"/>
          <w:szCs w:val="28"/>
          <w:highlight w:val="none"/>
        </w:rPr>
      </w:pPr>
      <w:r>
        <w:rPr>
          <w:rFonts w:hint="eastAsia" w:ascii="宋体" w:hAnsi="宋体" w:cs="宋体"/>
          <w:bCs/>
          <w:color w:val="auto"/>
          <w:sz w:val="28"/>
          <w:szCs w:val="28"/>
          <w:highlight w:val="none"/>
        </w:rPr>
        <w:t>从技术分析上来看，本项目工艺技术先进，成熟可靠、能耗低，安全卫生和环保等各项措施完善、符合国家标准。从技术符合性上来说，对照《产业结构调整指导目录（</w:t>
      </w:r>
      <w:r>
        <w:rPr>
          <w:rFonts w:ascii="宋体" w:hAnsi="宋体" w:cs="宋体"/>
          <w:bCs/>
          <w:color w:val="auto"/>
          <w:sz w:val="28"/>
          <w:szCs w:val="28"/>
          <w:highlight w:val="none"/>
        </w:rPr>
        <w:t>2019</w:t>
      </w:r>
      <w:r>
        <w:rPr>
          <w:rFonts w:hint="eastAsia" w:ascii="宋体" w:hAnsi="宋体" w:cs="宋体"/>
          <w:bCs/>
          <w:color w:val="auto"/>
          <w:sz w:val="28"/>
          <w:szCs w:val="28"/>
          <w:highlight w:val="none"/>
        </w:rPr>
        <w:t>年本）》，为允许类项目。</w:t>
      </w:r>
    </w:p>
    <w:p>
      <w:pPr>
        <w:pStyle w:val="32"/>
        <w:numPr>
          <w:ilvl w:val="0"/>
          <w:numId w:val="7"/>
        </w:numPr>
        <w:spacing w:line="560" w:lineRule="exact"/>
        <w:ind w:firstLineChars="0"/>
        <w:jc w:val="left"/>
        <w:rPr>
          <w:rFonts w:ascii="宋体" w:cs="宋体"/>
          <w:bCs/>
          <w:color w:val="auto"/>
          <w:sz w:val="28"/>
          <w:szCs w:val="28"/>
          <w:highlight w:val="none"/>
        </w:rPr>
      </w:pPr>
      <w:r>
        <w:rPr>
          <w:rFonts w:hint="eastAsia" w:ascii="宋体" w:hAnsi="宋体" w:cs="宋体"/>
          <w:bCs/>
          <w:color w:val="auto"/>
          <w:sz w:val="28"/>
          <w:szCs w:val="28"/>
          <w:highlight w:val="none"/>
        </w:rPr>
        <w:t>对比《国民经济行业分类》（</w:t>
      </w:r>
      <w:r>
        <w:rPr>
          <w:rFonts w:ascii="宋体" w:hAnsi="宋体" w:cs="宋体"/>
          <w:bCs/>
          <w:color w:val="auto"/>
          <w:sz w:val="28"/>
          <w:szCs w:val="28"/>
          <w:highlight w:val="none"/>
        </w:rPr>
        <w:t>GBT 4754-2017</w:t>
      </w:r>
      <w:r>
        <w:rPr>
          <w:rFonts w:hint="eastAsia" w:ascii="宋体" w:hAnsi="宋体" w:cs="宋体"/>
          <w:bCs/>
          <w:color w:val="auto"/>
          <w:sz w:val="28"/>
          <w:szCs w:val="28"/>
          <w:highlight w:val="none"/>
        </w:rPr>
        <w:t>）、《国民经济行业分类》国家标准第</w:t>
      </w:r>
      <w:r>
        <w:rPr>
          <w:rFonts w:ascii="宋体" w:hAnsi="宋体" w:cs="宋体"/>
          <w:bCs/>
          <w:color w:val="auto"/>
          <w:sz w:val="28"/>
          <w:szCs w:val="28"/>
          <w:highlight w:val="none"/>
        </w:rPr>
        <w:t>1</w:t>
      </w:r>
      <w:r>
        <w:rPr>
          <w:rFonts w:hint="eastAsia" w:ascii="宋体" w:hAnsi="宋体" w:cs="宋体"/>
          <w:bCs/>
          <w:color w:val="auto"/>
          <w:sz w:val="28"/>
          <w:szCs w:val="28"/>
          <w:highlight w:val="none"/>
        </w:rPr>
        <w:t>号修改单（</w:t>
      </w:r>
      <w:r>
        <w:rPr>
          <w:rFonts w:ascii="宋体" w:hAnsi="宋体" w:cs="宋体"/>
          <w:bCs/>
          <w:color w:val="auto"/>
          <w:sz w:val="28"/>
          <w:szCs w:val="28"/>
          <w:highlight w:val="none"/>
        </w:rPr>
        <w:t>GB/T 4754-2017/XG1-2019</w:t>
      </w:r>
      <w:r>
        <w:rPr>
          <w:rFonts w:hint="eastAsia" w:ascii="宋体" w:hAnsi="宋体" w:cs="宋体"/>
          <w:bCs/>
          <w:color w:val="auto"/>
          <w:sz w:val="28"/>
          <w:szCs w:val="28"/>
          <w:highlight w:val="none"/>
        </w:rPr>
        <w:t>），本项目属于“</w:t>
      </w:r>
      <w:r>
        <w:rPr>
          <w:rFonts w:ascii="宋体" w:hAnsi="宋体" w:cs="宋体"/>
          <w:bCs/>
          <w:color w:val="auto"/>
          <w:sz w:val="28"/>
          <w:szCs w:val="28"/>
          <w:highlight w:val="none"/>
        </w:rPr>
        <w:t>C26</w:t>
      </w:r>
      <w:r>
        <w:rPr>
          <w:rFonts w:hint="eastAsia" w:ascii="宋体" w:hAnsi="宋体" w:cs="宋体"/>
          <w:bCs/>
          <w:color w:val="auto"/>
          <w:sz w:val="28"/>
          <w:szCs w:val="28"/>
          <w:highlight w:val="none"/>
          <w:lang w:val="en-US" w:eastAsia="zh-CN"/>
        </w:rPr>
        <w:t>13无机盐</w:t>
      </w:r>
      <w:r>
        <w:rPr>
          <w:rFonts w:hint="eastAsia" w:ascii="宋体" w:hAnsi="宋体" w:cs="宋体"/>
          <w:bCs/>
          <w:color w:val="auto"/>
          <w:sz w:val="28"/>
          <w:szCs w:val="28"/>
          <w:highlight w:val="none"/>
        </w:rPr>
        <w:t>制造”。</w:t>
      </w:r>
    </w:p>
    <w:p>
      <w:pPr>
        <w:pStyle w:val="32"/>
        <w:numPr>
          <w:ilvl w:val="0"/>
          <w:numId w:val="7"/>
        </w:numPr>
        <w:spacing w:line="560" w:lineRule="exact"/>
        <w:ind w:firstLineChars="0"/>
        <w:jc w:val="left"/>
        <w:rPr>
          <w:rFonts w:ascii="宋体" w:cs="宋体"/>
          <w:bCs/>
          <w:color w:val="auto"/>
          <w:sz w:val="28"/>
          <w:szCs w:val="28"/>
          <w:highlight w:val="none"/>
        </w:rPr>
      </w:pPr>
      <w:r>
        <w:rPr>
          <w:rFonts w:hint="eastAsia" w:ascii="宋体" w:hAnsi="宋体" w:cs="宋体"/>
          <w:bCs/>
          <w:color w:val="auto"/>
          <w:sz w:val="28"/>
          <w:szCs w:val="28"/>
          <w:highlight w:val="none"/>
        </w:rPr>
        <w:t>本项目在运营期间，不产生生产性废水及固废，废气排放采取有组织排放模式，排放指标符合《烧碱、聚氯乙烯工业污染物排放标准》</w:t>
      </w:r>
      <w:r>
        <w:rPr>
          <w:rFonts w:ascii="宋体" w:hAnsi="宋体" w:cs="宋体"/>
          <w:bCs/>
          <w:color w:val="auto"/>
          <w:sz w:val="28"/>
          <w:szCs w:val="28"/>
          <w:highlight w:val="none"/>
        </w:rPr>
        <w:t>GB 15581-2016</w:t>
      </w:r>
      <w:r>
        <w:rPr>
          <w:rFonts w:hint="eastAsia" w:ascii="宋体" w:hAnsi="宋体" w:cs="宋体"/>
          <w:bCs/>
          <w:color w:val="auto"/>
          <w:sz w:val="28"/>
          <w:szCs w:val="28"/>
          <w:highlight w:val="none"/>
        </w:rPr>
        <w:t>表</w:t>
      </w:r>
      <w:r>
        <w:rPr>
          <w:rFonts w:ascii="宋体" w:hAnsi="宋体" w:cs="宋体"/>
          <w:bCs/>
          <w:color w:val="auto"/>
          <w:sz w:val="28"/>
          <w:szCs w:val="28"/>
          <w:highlight w:val="none"/>
        </w:rPr>
        <w:t>3</w:t>
      </w:r>
      <w:r>
        <w:rPr>
          <w:rFonts w:hint="eastAsia" w:ascii="宋体" w:hAnsi="宋体" w:cs="宋体"/>
          <w:bCs/>
          <w:color w:val="auto"/>
          <w:sz w:val="28"/>
          <w:szCs w:val="28"/>
          <w:highlight w:val="none"/>
        </w:rPr>
        <w:t>。</w:t>
      </w:r>
    </w:p>
    <w:p>
      <w:pPr>
        <w:pStyle w:val="32"/>
        <w:numPr>
          <w:ilvl w:val="0"/>
          <w:numId w:val="7"/>
        </w:numPr>
        <w:spacing w:line="560" w:lineRule="exact"/>
        <w:ind w:firstLineChars="0"/>
        <w:jc w:val="left"/>
        <w:rPr>
          <w:rFonts w:ascii="宋体" w:cs="宋体"/>
          <w:bCs/>
          <w:color w:val="auto"/>
          <w:sz w:val="28"/>
          <w:szCs w:val="28"/>
          <w:highlight w:val="none"/>
        </w:rPr>
      </w:pPr>
      <w:r>
        <w:rPr>
          <w:rFonts w:hint="eastAsia" w:ascii="宋体" w:hAnsi="宋体" w:cs="宋体"/>
          <w:bCs/>
          <w:color w:val="auto"/>
          <w:sz w:val="28"/>
          <w:szCs w:val="28"/>
          <w:highlight w:val="none"/>
        </w:rPr>
        <w:t>公司有多年的化工生产经验，项目的生产工艺具有安全保障、低污染、低能耗的特点；项目实施后有一定的经济效益，在技术上和经济上都是可行的，有较强的竞争优势，对于丰富公司产品结构，产业链延伸，提高产品附加值具有重要的经济意义。</w:t>
      </w:r>
    </w:p>
    <w:p>
      <w:pPr>
        <w:pStyle w:val="32"/>
        <w:spacing w:line="560" w:lineRule="exact"/>
        <w:ind w:firstLine="31680"/>
        <w:jc w:val="left"/>
        <w:rPr>
          <w:rFonts w:ascii="Times New Roman" w:hAnsi="Times New Roman"/>
          <w:color w:val="auto"/>
          <w:sz w:val="28"/>
          <w:szCs w:val="28"/>
          <w:highlight w:val="none"/>
        </w:rPr>
        <w:sectPr>
          <w:pgSz w:w="11906" w:h="16838"/>
          <w:pgMar w:top="1440" w:right="1800" w:bottom="1440" w:left="1800" w:header="851" w:footer="992" w:gutter="0"/>
          <w:cols w:space="425" w:num="1"/>
          <w:docGrid w:type="lines" w:linePitch="312" w:charSpace="0"/>
        </w:sectPr>
      </w:pPr>
      <w:r>
        <w:rPr>
          <w:rFonts w:hint="eastAsia" w:ascii="Times New Roman" w:hAnsi="Times New Roman"/>
          <w:color w:val="auto"/>
          <w:sz w:val="28"/>
          <w:szCs w:val="28"/>
          <w:highlight w:val="none"/>
        </w:rPr>
        <w:t>因此，</w:t>
      </w:r>
      <w:r>
        <w:rPr>
          <w:rFonts w:hint="eastAsia" w:ascii="宋体" w:hAnsi="宋体" w:cs="宋体"/>
          <w:bCs/>
          <w:color w:val="auto"/>
          <w:kern w:val="0"/>
          <w:sz w:val="28"/>
          <w:szCs w:val="28"/>
          <w:highlight w:val="none"/>
        </w:rPr>
        <w:t>江苏索普新材料科技有限公司</w:t>
      </w:r>
      <w:r>
        <w:rPr>
          <w:rFonts w:ascii="宋体" w:hAnsi="宋体" w:cs="宋体"/>
          <w:bCs/>
          <w:color w:val="auto"/>
          <w:kern w:val="0"/>
          <w:sz w:val="28"/>
          <w:szCs w:val="28"/>
          <w:highlight w:val="none"/>
        </w:rPr>
        <w:t>8</w:t>
      </w:r>
      <w:r>
        <w:rPr>
          <w:rFonts w:hint="eastAsia" w:ascii="宋体" w:hAnsi="宋体" w:cs="宋体"/>
          <w:bCs/>
          <w:color w:val="auto"/>
          <w:kern w:val="0"/>
          <w:sz w:val="28"/>
          <w:szCs w:val="28"/>
          <w:highlight w:val="none"/>
        </w:rPr>
        <w:t>万吨</w:t>
      </w:r>
      <w:r>
        <w:rPr>
          <w:rFonts w:ascii="宋体" w:hAnsi="宋体" w:cs="宋体"/>
          <w:bCs/>
          <w:color w:val="auto"/>
          <w:kern w:val="0"/>
          <w:sz w:val="28"/>
          <w:szCs w:val="28"/>
          <w:highlight w:val="none"/>
        </w:rPr>
        <w:t>/</w:t>
      </w:r>
      <w:r>
        <w:rPr>
          <w:rFonts w:hint="eastAsia" w:ascii="宋体" w:hAnsi="宋体" w:cs="宋体"/>
          <w:bCs/>
          <w:color w:val="auto"/>
          <w:kern w:val="0"/>
          <w:sz w:val="28"/>
          <w:szCs w:val="28"/>
          <w:highlight w:val="none"/>
        </w:rPr>
        <w:t>年次氯酸钠项目</w:t>
      </w:r>
      <w:r>
        <w:rPr>
          <w:rFonts w:hint="eastAsia" w:ascii="宋体" w:hAnsi="宋体" w:cs="宋体"/>
          <w:color w:val="auto"/>
          <w:sz w:val="28"/>
          <w:szCs w:val="28"/>
          <w:highlight w:val="none"/>
        </w:rPr>
        <w:t>生产装置项目</w:t>
      </w:r>
      <w:r>
        <w:rPr>
          <w:rFonts w:hint="eastAsia" w:ascii="Times New Roman" w:hAnsi="Times New Roman"/>
          <w:color w:val="auto"/>
          <w:sz w:val="28"/>
          <w:szCs w:val="28"/>
          <w:highlight w:val="none"/>
        </w:rPr>
        <w:t>是可行的。</w:t>
      </w:r>
    </w:p>
    <w:p>
      <w:pPr>
        <w:pStyle w:val="45"/>
        <w:spacing w:beforeLines="0" w:afterLines="0" w:line="560" w:lineRule="exact"/>
        <w:ind w:firstLine="31680"/>
        <w:rPr>
          <w:color w:val="auto"/>
          <w:szCs w:val="32"/>
          <w:highlight w:val="none"/>
          <w:lang w:val="zh-CN"/>
        </w:rPr>
      </w:pPr>
      <w:bookmarkStart w:id="1638" w:name="_Toc30509_WPSOffice_Level1"/>
      <w:bookmarkStart w:id="1639" w:name="_Toc22985"/>
      <w:bookmarkStart w:id="1640" w:name="_Toc1406_WPSOffice_Level1"/>
      <w:bookmarkStart w:id="1641" w:name="_Toc14622"/>
      <w:bookmarkStart w:id="1642" w:name="_Toc17972"/>
      <w:bookmarkStart w:id="1643" w:name="_Toc24482_WPSOffice_Level1"/>
      <w:bookmarkStart w:id="1644" w:name="_Toc27269_WPSOffice_Level1"/>
      <w:bookmarkStart w:id="1645" w:name="_Toc17366"/>
      <w:bookmarkStart w:id="1646" w:name="_Toc20157"/>
      <w:bookmarkStart w:id="1647" w:name="_Toc13316_WPSOffice_Level1"/>
      <w:r>
        <w:rPr>
          <w:rFonts w:hint="eastAsia"/>
          <w:color w:val="auto"/>
          <w:szCs w:val="32"/>
          <w:highlight w:val="none"/>
          <w:lang w:val="zh-CN"/>
        </w:rPr>
        <w:t>附件</w:t>
      </w:r>
      <w:bookmarkEnd w:id="1638"/>
      <w:bookmarkEnd w:id="1639"/>
      <w:bookmarkEnd w:id="1640"/>
      <w:bookmarkEnd w:id="1641"/>
      <w:bookmarkEnd w:id="1642"/>
      <w:bookmarkEnd w:id="1643"/>
      <w:bookmarkEnd w:id="1644"/>
      <w:bookmarkEnd w:id="1645"/>
      <w:bookmarkEnd w:id="1646"/>
      <w:bookmarkEnd w:id="1647"/>
    </w:p>
    <w:p>
      <w:pPr>
        <w:pStyle w:val="32"/>
        <w:spacing w:line="560" w:lineRule="exact"/>
        <w:ind w:firstLine="31680"/>
        <w:jc w:val="left"/>
        <w:outlineLvl w:val="0"/>
        <w:rPr>
          <w:rFonts w:ascii="宋体" w:cs="宋体"/>
          <w:color w:val="auto"/>
          <w:sz w:val="28"/>
          <w:szCs w:val="28"/>
          <w:highlight w:val="none"/>
        </w:rPr>
      </w:pPr>
      <w:bookmarkStart w:id="1648" w:name="_Toc32483_WPSOffice_Level1"/>
      <w:bookmarkStart w:id="1649" w:name="_Toc19312"/>
      <w:bookmarkStart w:id="1650" w:name="_Toc31051_WPSOffice_Level1"/>
      <w:bookmarkStart w:id="1651" w:name="_Toc28920"/>
      <w:bookmarkStart w:id="1652" w:name="_Toc1888_WPSOffice_Level1"/>
      <w:bookmarkStart w:id="1653" w:name="_Toc11524"/>
      <w:bookmarkStart w:id="1654" w:name="_Toc506"/>
      <w:bookmarkStart w:id="1655" w:name="_Toc23513_WPSOffice_Level1"/>
      <w:bookmarkStart w:id="1656" w:name="_Toc15831"/>
      <w:bookmarkStart w:id="1657" w:name="_Toc24479_WPSOffice_Level1"/>
      <w:bookmarkStart w:id="1658" w:name="_Toc9762"/>
      <w:r>
        <w:rPr>
          <w:rFonts w:hint="eastAsia" w:ascii="宋体" w:hAnsi="宋体" w:cs="宋体"/>
          <w:color w:val="auto"/>
          <w:sz w:val="28"/>
          <w:szCs w:val="28"/>
          <w:highlight w:val="none"/>
        </w:rPr>
        <w:t>附表：</w:t>
      </w:r>
      <w:bookmarkEnd w:id="1648"/>
      <w:bookmarkEnd w:id="1649"/>
      <w:bookmarkEnd w:id="1650"/>
      <w:bookmarkEnd w:id="1651"/>
      <w:bookmarkEnd w:id="1652"/>
      <w:bookmarkEnd w:id="1653"/>
      <w:bookmarkEnd w:id="1654"/>
      <w:bookmarkEnd w:id="1655"/>
      <w:bookmarkEnd w:id="1656"/>
      <w:bookmarkEnd w:id="1657"/>
      <w:bookmarkEnd w:id="1658"/>
    </w:p>
    <w:p>
      <w:pPr>
        <w:pStyle w:val="32"/>
        <w:spacing w:line="560" w:lineRule="exact"/>
        <w:ind w:firstLine="31680"/>
        <w:jc w:val="left"/>
        <w:rPr>
          <w:rFonts w:ascii="宋体" w:cs="宋体"/>
          <w:color w:val="auto"/>
          <w:sz w:val="28"/>
          <w:szCs w:val="28"/>
          <w:highlight w:val="none"/>
        </w:rPr>
      </w:pPr>
      <w:bookmarkStart w:id="1659" w:name="_Toc19730_WPSOffice_Level1"/>
      <w:r>
        <w:rPr>
          <w:rFonts w:ascii="宋体" w:hAnsi="宋体" w:cs="宋体"/>
          <w:color w:val="auto"/>
          <w:sz w:val="28"/>
          <w:szCs w:val="28"/>
          <w:highlight w:val="none"/>
        </w:rPr>
        <w:t>1</w:t>
      </w:r>
      <w:r>
        <w:rPr>
          <w:rFonts w:hint="eastAsia" w:ascii="宋体" w:hAnsi="宋体" w:cs="宋体"/>
          <w:color w:val="auto"/>
          <w:sz w:val="28"/>
          <w:szCs w:val="28"/>
          <w:highlight w:val="none"/>
        </w:rPr>
        <w:t>、财务评价指标汇总表</w:t>
      </w:r>
      <w:bookmarkEnd w:id="1659"/>
    </w:p>
    <w:p>
      <w:pPr>
        <w:pStyle w:val="32"/>
        <w:spacing w:line="560" w:lineRule="exact"/>
        <w:ind w:firstLine="31680"/>
        <w:jc w:val="left"/>
        <w:rPr>
          <w:rFonts w:ascii="宋体" w:cs="宋体"/>
          <w:color w:val="auto"/>
          <w:sz w:val="28"/>
          <w:szCs w:val="28"/>
          <w:highlight w:val="none"/>
        </w:rPr>
      </w:pPr>
      <w:bookmarkStart w:id="1660" w:name="_Toc28251_WPSOffice_Level1"/>
      <w:r>
        <w:rPr>
          <w:rFonts w:ascii="宋体" w:hAnsi="宋体" w:cs="宋体"/>
          <w:color w:val="auto"/>
          <w:sz w:val="28"/>
          <w:szCs w:val="28"/>
          <w:highlight w:val="none"/>
        </w:rPr>
        <w:t>2</w:t>
      </w:r>
      <w:r>
        <w:rPr>
          <w:rFonts w:hint="eastAsia" w:ascii="宋体" w:hAnsi="宋体" w:cs="宋体"/>
          <w:color w:val="auto"/>
          <w:sz w:val="28"/>
          <w:szCs w:val="28"/>
          <w:highlight w:val="none"/>
        </w:rPr>
        <w:t>、财务计划现金流量表</w:t>
      </w:r>
      <w:bookmarkEnd w:id="1660"/>
    </w:p>
    <w:p>
      <w:pPr>
        <w:pStyle w:val="32"/>
        <w:spacing w:line="560" w:lineRule="exact"/>
        <w:ind w:firstLine="31680"/>
        <w:jc w:val="left"/>
        <w:rPr>
          <w:rFonts w:ascii="宋体" w:cs="宋体"/>
          <w:color w:val="auto"/>
          <w:sz w:val="28"/>
          <w:szCs w:val="28"/>
          <w:highlight w:val="none"/>
        </w:rPr>
      </w:pPr>
      <w:bookmarkStart w:id="1661" w:name="_Toc27616_WPSOffice_Level1"/>
      <w:r>
        <w:rPr>
          <w:rFonts w:ascii="宋体" w:hAnsi="宋体" w:cs="宋体"/>
          <w:color w:val="auto"/>
          <w:sz w:val="28"/>
          <w:szCs w:val="28"/>
          <w:highlight w:val="none"/>
        </w:rPr>
        <w:t>3</w:t>
      </w:r>
      <w:r>
        <w:rPr>
          <w:rFonts w:hint="eastAsia" w:ascii="宋体" w:hAnsi="宋体" w:cs="宋体"/>
          <w:color w:val="auto"/>
          <w:sz w:val="28"/>
          <w:szCs w:val="28"/>
          <w:highlight w:val="none"/>
        </w:rPr>
        <w:t>、总成本费用估算表</w:t>
      </w:r>
      <w:bookmarkEnd w:id="1661"/>
    </w:p>
    <w:p>
      <w:pPr>
        <w:pStyle w:val="32"/>
        <w:spacing w:line="560" w:lineRule="exact"/>
        <w:ind w:firstLine="31680"/>
        <w:jc w:val="left"/>
        <w:rPr>
          <w:rFonts w:ascii="宋体" w:cs="宋体"/>
          <w:color w:val="auto"/>
          <w:sz w:val="28"/>
          <w:szCs w:val="28"/>
          <w:highlight w:val="none"/>
        </w:rPr>
      </w:pPr>
      <w:bookmarkStart w:id="1662" w:name="_Toc22247_WPSOffice_Level1"/>
      <w:r>
        <w:rPr>
          <w:rFonts w:ascii="宋体" w:hAnsi="宋体" w:cs="宋体"/>
          <w:color w:val="auto"/>
          <w:sz w:val="28"/>
          <w:szCs w:val="28"/>
          <w:highlight w:val="none"/>
        </w:rPr>
        <w:t>4</w:t>
      </w:r>
      <w:r>
        <w:rPr>
          <w:rFonts w:hint="eastAsia" w:ascii="宋体" w:hAnsi="宋体" w:cs="宋体"/>
          <w:color w:val="auto"/>
          <w:sz w:val="28"/>
          <w:szCs w:val="28"/>
          <w:highlight w:val="none"/>
        </w:rPr>
        <w:t>、项目投资现金流量表</w:t>
      </w:r>
      <w:bookmarkEnd w:id="1662"/>
    </w:p>
    <w:p>
      <w:pPr>
        <w:pStyle w:val="32"/>
        <w:spacing w:line="560" w:lineRule="exact"/>
        <w:ind w:firstLine="31680"/>
        <w:jc w:val="left"/>
        <w:rPr>
          <w:rFonts w:ascii="宋体" w:cs="宋体"/>
          <w:color w:val="auto"/>
          <w:sz w:val="28"/>
          <w:szCs w:val="28"/>
          <w:highlight w:val="none"/>
        </w:rPr>
      </w:pPr>
      <w:bookmarkStart w:id="1663" w:name="_Toc5119_WPSOffice_Level1"/>
      <w:r>
        <w:rPr>
          <w:rFonts w:ascii="宋体" w:hAnsi="宋体" w:cs="宋体"/>
          <w:color w:val="auto"/>
          <w:sz w:val="28"/>
          <w:szCs w:val="28"/>
          <w:highlight w:val="none"/>
        </w:rPr>
        <w:t>5</w:t>
      </w:r>
      <w:r>
        <w:rPr>
          <w:rFonts w:hint="eastAsia" w:ascii="宋体" w:hAnsi="宋体" w:cs="宋体"/>
          <w:color w:val="auto"/>
          <w:sz w:val="28"/>
          <w:szCs w:val="28"/>
          <w:highlight w:val="none"/>
        </w:rPr>
        <w:t>、</w:t>
      </w:r>
      <w:bookmarkEnd w:id="1663"/>
      <w:r>
        <w:rPr>
          <w:rFonts w:hint="eastAsia" w:ascii="宋体" w:hAnsi="宋体" w:cs="宋体"/>
          <w:color w:val="auto"/>
          <w:sz w:val="28"/>
          <w:szCs w:val="28"/>
          <w:highlight w:val="none"/>
        </w:rPr>
        <w:t>建设投资估算表</w:t>
      </w:r>
    </w:p>
    <w:p>
      <w:pPr>
        <w:pStyle w:val="32"/>
        <w:spacing w:line="560" w:lineRule="exact"/>
        <w:ind w:firstLine="31680"/>
        <w:jc w:val="left"/>
        <w:rPr>
          <w:rFonts w:ascii="宋体" w:cs="宋体"/>
          <w:color w:val="auto"/>
          <w:sz w:val="28"/>
          <w:szCs w:val="28"/>
          <w:highlight w:val="none"/>
        </w:rPr>
      </w:pPr>
      <w:bookmarkStart w:id="1664" w:name="_Toc10072_WPSOffice_Level1"/>
      <w:r>
        <w:rPr>
          <w:rFonts w:ascii="宋体" w:hAnsi="宋体" w:cs="宋体"/>
          <w:color w:val="auto"/>
          <w:sz w:val="28"/>
          <w:szCs w:val="28"/>
          <w:highlight w:val="none"/>
        </w:rPr>
        <w:t>6</w:t>
      </w:r>
      <w:r>
        <w:rPr>
          <w:rFonts w:hint="eastAsia" w:ascii="宋体" w:hAnsi="宋体" w:cs="宋体"/>
          <w:color w:val="auto"/>
          <w:sz w:val="28"/>
          <w:szCs w:val="28"/>
          <w:highlight w:val="none"/>
        </w:rPr>
        <w:t>、项目总投资使用计划与资金筹措表</w:t>
      </w:r>
      <w:bookmarkEnd w:id="1664"/>
    </w:p>
    <w:p>
      <w:pPr>
        <w:pStyle w:val="32"/>
        <w:spacing w:line="560" w:lineRule="exact"/>
        <w:ind w:firstLine="31680"/>
        <w:jc w:val="left"/>
        <w:rPr>
          <w:rFonts w:ascii="宋体" w:cs="宋体"/>
          <w:color w:val="auto"/>
          <w:sz w:val="28"/>
          <w:szCs w:val="28"/>
          <w:highlight w:val="none"/>
        </w:rPr>
      </w:pPr>
      <w:r>
        <w:rPr>
          <w:rFonts w:ascii="宋体" w:hAnsi="宋体" w:cs="宋体"/>
          <w:color w:val="auto"/>
          <w:sz w:val="28"/>
          <w:szCs w:val="28"/>
          <w:highlight w:val="none"/>
        </w:rPr>
        <w:t>7</w:t>
      </w:r>
      <w:r>
        <w:rPr>
          <w:rFonts w:hint="eastAsia" w:ascii="宋体" w:hAnsi="宋体" w:cs="宋体"/>
          <w:color w:val="auto"/>
          <w:sz w:val="28"/>
          <w:szCs w:val="28"/>
          <w:highlight w:val="none"/>
        </w:rPr>
        <w:t>、固定资产折旧估算表</w:t>
      </w:r>
    </w:p>
    <w:p>
      <w:pPr>
        <w:pStyle w:val="32"/>
        <w:spacing w:line="560" w:lineRule="exact"/>
        <w:ind w:firstLine="31680"/>
        <w:jc w:val="left"/>
        <w:rPr>
          <w:rFonts w:ascii="宋体" w:cs="宋体"/>
          <w:color w:val="auto"/>
          <w:sz w:val="28"/>
          <w:szCs w:val="28"/>
          <w:highlight w:val="none"/>
        </w:rPr>
      </w:pPr>
      <w:r>
        <w:rPr>
          <w:rFonts w:ascii="宋体" w:hAnsi="宋体" w:cs="宋体"/>
          <w:color w:val="auto"/>
          <w:sz w:val="28"/>
          <w:szCs w:val="28"/>
          <w:highlight w:val="none"/>
        </w:rPr>
        <w:t>8</w:t>
      </w:r>
      <w:r>
        <w:rPr>
          <w:rFonts w:hint="eastAsia" w:ascii="宋体" w:hAnsi="宋体" w:cs="宋体"/>
          <w:color w:val="auto"/>
          <w:sz w:val="28"/>
          <w:szCs w:val="28"/>
          <w:highlight w:val="none"/>
        </w:rPr>
        <w:t>、营业收入、营业税金及附加和增值税估算表</w:t>
      </w:r>
    </w:p>
    <w:p>
      <w:pPr>
        <w:pStyle w:val="32"/>
        <w:spacing w:line="560" w:lineRule="exact"/>
        <w:ind w:firstLine="31680"/>
        <w:jc w:val="left"/>
        <w:rPr>
          <w:rFonts w:ascii="宋体" w:cs="宋体"/>
          <w:color w:val="auto"/>
          <w:sz w:val="28"/>
          <w:szCs w:val="28"/>
          <w:highlight w:val="none"/>
        </w:rPr>
      </w:pPr>
      <w:r>
        <w:rPr>
          <w:rFonts w:ascii="宋体" w:hAnsi="宋体" w:cs="宋体"/>
          <w:color w:val="auto"/>
          <w:sz w:val="28"/>
          <w:szCs w:val="28"/>
          <w:highlight w:val="none"/>
        </w:rPr>
        <w:t>9</w:t>
      </w:r>
      <w:r>
        <w:rPr>
          <w:rFonts w:hint="eastAsia" w:ascii="宋体" w:hAnsi="宋体" w:cs="宋体"/>
          <w:color w:val="auto"/>
          <w:sz w:val="28"/>
          <w:szCs w:val="28"/>
          <w:highlight w:val="none"/>
        </w:rPr>
        <w:t>、利润和利润分配表</w:t>
      </w:r>
    </w:p>
    <w:p>
      <w:pPr>
        <w:pStyle w:val="7"/>
        <w:rPr>
          <w:color w:val="auto"/>
          <w:highlight w:val="none"/>
        </w:rPr>
      </w:pPr>
    </w:p>
    <w:p>
      <w:pPr>
        <w:pStyle w:val="32"/>
        <w:spacing w:line="560" w:lineRule="exact"/>
        <w:ind w:firstLine="31680"/>
        <w:jc w:val="left"/>
        <w:outlineLvl w:val="0"/>
        <w:rPr>
          <w:rFonts w:ascii="宋体" w:cs="宋体"/>
          <w:color w:val="auto"/>
          <w:sz w:val="28"/>
          <w:szCs w:val="28"/>
          <w:highlight w:val="none"/>
        </w:rPr>
      </w:pPr>
      <w:bookmarkStart w:id="1665" w:name="_Toc15320"/>
      <w:bookmarkStart w:id="1666" w:name="_Toc23621"/>
      <w:bookmarkStart w:id="1667" w:name="_Toc24380"/>
      <w:bookmarkStart w:id="1668" w:name="_Toc3001"/>
      <w:bookmarkStart w:id="1669" w:name="_Toc31099"/>
      <w:r>
        <w:rPr>
          <w:rFonts w:hint="eastAsia" w:ascii="宋体" w:hAnsi="宋体" w:cs="宋体"/>
          <w:color w:val="auto"/>
          <w:sz w:val="28"/>
          <w:szCs w:val="28"/>
          <w:highlight w:val="none"/>
        </w:rPr>
        <w:t>附图：</w:t>
      </w:r>
      <w:bookmarkEnd w:id="1665"/>
      <w:bookmarkEnd w:id="1666"/>
      <w:bookmarkEnd w:id="1667"/>
      <w:bookmarkEnd w:id="1668"/>
      <w:bookmarkEnd w:id="1669"/>
    </w:p>
    <w:p>
      <w:pPr>
        <w:widowControl/>
        <w:numPr>
          <w:ilvl w:val="0"/>
          <w:numId w:val="8"/>
        </w:numPr>
        <w:spacing w:line="560" w:lineRule="exact"/>
        <w:ind w:firstLine="560" w:firstLineChars="200"/>
        <w:jc w:val="left"/>
        <w:rPr>
          <w:rFonts w:ascii="宋体" w:cs="宋体"/>
          <w:color w:val="auto"/>
          <w:sz w:val="28"/>
          <w:szCs w:val="28"/>
          <w:highlight w:val="none"/>
        </w:rPr>
      </w:pPr>
      <w:r>
        <w:rPr>
          <w:rFonts w:hint="eastAsia" w:ascii="宋体" w:hAnsi="宋体" w:cs="宋体"/>
          <w:color w:val="auto"/>
          <w:sz w:val="28"/>
          <w:szCs w:val="28"/>
          <w:highlight w:val="none"/>
        </w:rPr>
        <w:t>区域位置图</w:t>
      </w:r>
    </w:p>
    <w:p>
      <w:pPr>
        <w:widowControl/>
        <w:numPr>
          <w:ilvl w:val="0"/>
          <w:numId w:val="8"/>
        </w:numPr>
        <w:spacing w:line="560" w:lineRule="exact"/>
        <w:ind w:firstLine="560" w:firstLineChars="200"/>
        <w:jc w:val="left"/>
        <w:rPr>
          <w:rFonts w:ascii="宋体" w:cs="宋体"/>
          <w:color w:val="auto"/>
          <w:sz w:val="28"/>
          <w:szCs w:val="28"/>
          <w:highlight w:val="none"/>
        </w:rPr>
      </w:pPr>
      <w:r>
        <w:rPr>
          <w:rFonts w:hint="eastAsia" w:ascii="宋体" w:hAnsi="宋体" w:cs="宋体"/>
          <w:color w:val="auto"/>
          <w:sz w:val="28"/>
          <w:szCs w:val="28"/>
          <w:highlight w:val="none"/>
        </w:rPr>
        <w:t>项目布置图</w:t>
      </w:r>
    </w:p>
    <w:p>
      <w:pPr>
        <w:widowControl/>
        <w:numPr>
          <w:ilvl w:val="0"/>
          <w:numId w:val="8"/>
        </w:numPr>
        <w:spacing w:line="560" w:lineRule="exact"/>
        <w:ind w:firstLine="560" w:firstLineChars="200"/>
        <w:jc w:val="left"/>
        <w:rPr>
          <w:rFonts w:ascii="宋体" w:cs="宋体"/>
          <w:color w:val="auto"/>
          <w:sz w:val="28"/>
          <w:szCs w:val="28"/>
          <w:highlight w:val="none"/>
        </w:rPr>
        <w:sectPr>
          <w:pgSz w:w="11906" w:h="16838"/>
          <w:pgMar w:top="1440" w:right="1800" w:bottom="1440" w:left="1800" w:header="851" w:footer="992" w:gutter="0"/>
          <w:cols w:space="425" w:num="1"/>
          <w:docGrid w:type="lines" w:linePitch="312" w:charSpace="0"/>
        </w:sectPr>
      </w:pPr>
      <w:r>
        <w:rPr>
          <w:rFonts w:hint="eastAsia" w:ascii="宋体" w:hAnsi="宋体" w:cs="宋体"/>
          <w:color w:val="auto"/>
          <w:sz w:val="28"/>
          <w:szCs w:val="28"/>
          <w:highlight w:val="none"/>
        </w:rPr>
        <w:t>工艺流程图（另附）</w:t>
      </w:r>
    </w:p>
    <w:p>
      <w:pPr>
        <w:pStyle w:val="32"/>
        <w:spacing w:line="560" w:lineRule="exact"/>
        <w:ind w:firstLine="31680"/>
        <w:jc w:val="left"/>
        <w:rPr>
          <w:rFonts w:ascii="Times New Roman" w:hAnsi="Times New Roman"/>
          <w:color w:val="auto"/>
          <w:sz w:val="28"/>
          <w:szCs w:val="28"/>
          <w:highlight w:val="none"/>
        </w:rPr>
      </w:pPr>
      <w:r>
        <w:rPr>
          <w:rFonts w:hint="eastAsia" w:ascii="Times New Roman" w:hAnsi="Times New Roman"/>
          <w:color w:val="auto"/>
          <w:sz w:val="28"/>
          <w:szCs w:val="28"/>
          <w:highlight w:val="none"/>
        </w:rPr>
        <w:t>附表</w:t>
      </w:r>
      <w:r>
        <w:rPr>
          <w:rFonts w:ascii="Times New Roman" w:hAnsi="Times New Roman"/>
          <w:color w:val="auto"/>
          <w:sz w:val="28"/>
          <w:szCs w:val="28"/>
          <w:highlight w:val="none"/>
        </w:rPr>
        <w:t>1</w:t>
      </w:r>
      <w:r>
        <w:rPr>
          <w:rFonts w:hint="eastAsia" w:ascii="Times New Roman" w:hAnsi="Times New Roman"/>
          <w:color w:val="auto"/>
          <w:sz w:val="28"/>
          <w:szCs w:val="28"/>
          <w:highlight w:val="none"/>
        </w:rPr>
        <w:t>：财务评价指标汇总表</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49"/>
        <w:gridCol w:w="5553"/>
        <w:gridCol w:w="17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00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ind w:firstLine="220" w:firstLineChars="100"/>
              <w:jc w:val="both"/>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 xml:space="preserve">     </w:t>
            </w:r>
            <w:r>
              <w:rPr>
                <w:rFonts w:hint="eastAsia" w:ascii="宋体" w:hAnsi="宋体" w:cs="宋体"/>
                <w:i w:val="0"/>
                <w:iCs w:val="0"/>
                <w:color w:val="auto"/>
                <w:kern w:val="0"/>
                <w:sz w:val="22"/>
                <w:szCs w:val="22"/>
                <w:highlight w:val="none"/>
                <w:u w:val="none"/>
                <w:lang w:val="en-US" w:eastAsia="zh-CN" w:bidi="ar"/>
              </w:rPr>
              <w:t xml:space="preserve">                                                       </w:t>
            </w:r>
            <w:r>
              <w:rPr>
                <w:rFonts w:hint="eastAsia" w:ascii="宋体" w:hAnsi="宋体" w:eastAsia="宋体" w:cs="宋体"/>
                <w:i w:val="0"/>
                <w:iCs w:val="0"/>
                <w:color w:val="auto"/>
                <w:kern w:val="0"/>
                <w:sz w:val="22"/>
                <w:szCs w:val="22"/>
                <w:highlight w:val="none"/>
                <w:u w:val="none"/>
                <w:lang w:val="en-US" w:eastAsia="zh-CN" w:bidi="ar"/>
              </w:rPr>
              <w:t>单位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项目名称</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数据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项目总投资</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其中报批总投资</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建设投资</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建设期利息</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1.3</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流动资金</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其中铺底流动资金</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1.4</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其他资产</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资金筹措</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项目资本金</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项目债务资金</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2.3</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其他资金</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年均销售收入</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3832.49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年均总成本费用</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3708.90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5</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年均销售税金及附加</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6</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年均增值税</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28.17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7</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年均息税前利润（EBIT）</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120.20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年均利润总额</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120.20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9</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年均所得税</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30.05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10</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年均净利润</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90.15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总投资收益率（％）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26.71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投资利税率（％）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33.72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13</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项目资本金净利润率（％）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20.03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14</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贷款偿还期</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15</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平均利息备付率（％）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16</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平均偿债备付率（％）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17</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项目投资税前指标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17.1</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财务内部收益率（％）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33.15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17.2</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项目投资财务净现值（I=12％）</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388.70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17.3</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全部投资回收期（年）</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18</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项目投资税后指标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18.1</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财务内部收益率（％）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26.14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18.2</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项目投资财务净现值（I=12％）</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249.04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18.3</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全部投资回收期（年）</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4.39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19</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资本金内部收益率（％）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26.14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20</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盈亏平衡点</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20.1</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生产能力利用率（％）</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29.63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20.2</w:t>
            </w:r>
          </w:p>
        </w:tc>
        <w:tc>
          <w:tcPr>
            <w:tcW w:w="32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价格平衡点（％）</w:t>
            </w:r>
          </w:p>
        </w:tc>
        <w:tc>
          <w:tcPr>
            <w:tcW w:w="10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96.75 </w:t>
            </w:r>
          </w:p>
        </w:tc>
      </w:tr>
    </w:tbl>
    <w:p>
      <w:pPr>
        <w:pStyle w:val="32"/>
        <w:spacing w:line="560" w:lineRule="exact"/>
        <w:ind w:firstLine="31680"/>
        <w:jc w:val="left"/>
        <w:rPr>
          <w:rFonts w:ascii="Times New Roman" w:hAnsi="Times New Roman"/>
          <w:color w:val="auto"/>
          <w:sz w:val="28"/>
          <w:szCs w:val="28"/>
          <w:highlight w:val="none"/>
        </w:rPr>
        <w:sectPr>
          <w:pgSz w:w="11906" w:h="16838"/>
          <w:pgMar w:top="1440" w:right="1800" w:bottom="1440" w:left="1800" w:header="851" w:footer="992" w:gutter="0"/>
          <w:cols w:space="425" w:num="1"/>
          <w:docGrid w:type="lines" w:linePitch="312" w:charSpace="0"/>
        </w:sectPr>
      </w:pPr>
    </w:p>
    <w:p>
      <w:pPr>
        <w:pStyle w:val="32"/>
        <w:spacing w:line="560" w:lineRule="exact"/>
        <w:ind w:firstLine="31680"/>
        <w:jc w:val="left"/>
        <w:rPr>
          <w:rFonts w:hint="eastAsia" w:ascii="Times New Roman" w:hAnsi="Times New Roman"/>
          <w:color w:val="auto"/>
          <w:sz w:val="28"/>
          <w:szCs w:val="28"/>
          <w:highlight w:val="none"/>
        </w:rPr>
      </w:pPr>
      <w:r>
        <w:rPr>
          <w:rFonts w:hint="eastAsia" w:ascii="Times New Roman" w:hAnsi="Times New Roman"/>
          <w:color w:val="auto"/>
          <w:sz w:val="28"/>
          <w:szCs w:val="28"/>
          <w:highlight w:val="none"/>
        </w:rPr>
        <w:t>附表</w:t>
      </w:r>
      <w:r>
        <w:rPr>
          <w:rFonts w:ascii="Times New Roman" w:hAnsi="Times New Roman"/>
          <w:color w:val="auto"/>
          <w:sz w:val="28"/>
          <w:szCs w:val="28"/>
          <w:highlight w:val="none"/>
        </w:rPr>
        <w:t>2</w:t>
      </w:r>
      <w:r>
        <w:rPr>
          <w:rFonts w:hint="eastAsia" w:ascii="Times New Roman" w:hAnsi="Times New Roman"/>
          <w:color w:val="auto"/>
          <w:sz w:val="28"/>
          <w:szCs w:val="28"/>
          <w:highlight w:val="none"/>
        </w:rPr>
        <w:t>：财务计划现金流量表</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76"/>
        <w:gridCol w:w="2349"/>
        <w:gridCol w:w="1090"/>
        <w:gridCol w:w="984"/>
        <w:gridCol w:w="984"/>
        <w:gridCol w:w="984"/>
        <w:gridCol w:w="984"/>
        <w:gridCol w:w="984"/>
        <w:gridCol w:w="984"/>
        <w:gridCol w:w="984"/>
        <w:gridCol w:w="984"/>
        <w:gridCol w:w="984"/>
        <w:gridCol w:w="110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000" w:type="pct"/>
            <w:gridSpan w:val="13"/>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ascii="Microsoft Sans Serif" w:hAnsi="Microsoft Sans Serif" w:eastAsia="Microsoft Sans Serif" w:cs="Microsoft Sans Serif"/>
                <w:i/>
                <w:iCs/>
                <w:color w:val="auto"/>
                <w:sz w:val="22"/>
                <w:szCs w:val="22"/>
                <w:highlight w:val="none"/>
                <w:u w:val="none"/>
              </w:rPr>
            </w:pPr>
            <w:r>
              <w:rPr>
                <w:rFonts w:hint="eastAsia" w:ascii="Microsoft Sans Serif" w:hAnsi="Microsoft Sans Serif" w:eastAsia="Microsoft Sans Serif" w:cs="Microsoft Sans Serif"/>
                <w:i/>
                <w:iCs/>
                <w:color w:val="auto"/>
                <w:kern w:val="0"/>
                <w:sz w:val="22"/>
                <w:szCs w:val="22"/>
                <w:highlight w:val="none"/>
                <w:u w:val="none"/>
                <w:lang w:val="en-US" w:eastAsia="zh-CN" w:bidi="ar"/>
              </w:rPr>
              <w:t xml:space="preserve">                                                                                             </w:t>
            </w:r>
            <w:r>
              <w:rPr>
                <w:rFonts w:hint="default" w:ascii="Microsoft Sans Serif" w:hAnsi="Microsoft Sans Serif" w:eastAsia="Microsoft Sans Serif" w:cs="Microsoft Sans Serif"/>
                <w:i/>
                <w:iCs/>
                <w:color w:val="auto"/>
                <w:kern w:val="0"/>
                <w:sz w:val="22"/>
                <w:szCs w:val="22"/>
                <w:highlight w:val="none"/>
                <w:u w:val="none"/>
                <w:lang w:val="en-US" w:eastAsia="zh-CN" w:bidi="ar"/>
              </w:rPr>
              <w:t xml:space="preserve"> </w:t>
            </w:r>
            <w:r>
              <w:rPr>
                <w:rFonts w:hint="eastAsia" w:ascii="Microsoft Sans Serif" w:hAnsi="Microsoft Sans Serif" w:eastAsia="Microsoft Sans Serif" w:cs="Microsoft Sans Serif"/>
                <w:i/>
                <w:iCs/>
                <w:color w:val="auto"/>
                <w:kern w:val="0"/>
                <w:sz w:val="22"/>
                <w:szCs w:val="22"/>
                <w:highlight w:val="none"/>
                <w:u w:val="none"/>
                <w:lang w:val="en-US" w:eastAsia="zh-CN" w:bidi="ar"/>
              </w:rPr>
              <w:t xml:space="preserve">            </w:t>
            </w:r>
            <w:r>
              <w:rPr>
                <w:rFonts w:hint="default" w:ascii="Microsoft Sans Serif" w:hAnsi="Microsoft Sans Serif" w:eastAsia="Microsoft Sans Serif" w:cs="Microsoft Sans Serif"/>
                <w:i/>
                <w:iCs/>
                <w:color w:val="auto"/>
                <w:kern w:val="0"/>
                <w:sz w:val="22"/>
                <w:szCs w:val="22"/>
                <w:highlight w:val="none"/>
                <w:u w:val="none"/>
                <w:lang w:val="en-US" w:eastAsia="zh-CN" w:bidi="ar"/>
              </w:rPr>
              <w:t xml:space="preserve">     单位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项目名称</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合计</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第1年</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第2年</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第3年</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第4年</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第5年</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第6年</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第7年</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第8年</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第9年</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经营活动净现金流量</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1184.48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116.70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151.53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现金流入</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38976.38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3136.03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4480.04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4480.04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4480.04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4480.04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4480.04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4480.04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4480.04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4480.04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1.1.1</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营业收入</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34492.37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2775.25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1.1.2</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增值税销项税额</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4484.01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360.78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1.1.3</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补贴收入</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1.1.4</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其他收入</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现金流出</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37791.90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3019.33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4328.51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4349.15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4349.15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4349.15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4349.15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4349.15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4349.15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4349.15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1.2.1</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经营成本</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33049.79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2663.67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1.2.2</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增值税进项税额</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4187.73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336.94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1.2.3</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税金及附加</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30.42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1.81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1.2.4</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增值税</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253.50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15.12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1.2.5</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所得税</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270.45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18.72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31.96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1.2.6</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其他流出</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投资活动净现金流量</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现金流入</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2.1.1</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回收固定资产余值</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2.1.2</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回收流动资金</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2.1.3</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回收对外投资</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现金流出</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2.2.1</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建设投资</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2.2.2</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维持运营投资</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2.2.3</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流动资金</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2.2.4</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其他流出</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筹资活动净现金流量</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-280.22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-50.54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-86.30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3.1</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现金流入</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3.1.1</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项目资本金投入</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3.1.2</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建设投资借款</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3.1.3</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流动资金借款</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3.1.4</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短期借款</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3.1.5</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其他流入</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3.2</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现金流出</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730.22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50.54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86.30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3.2.1</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各种利息支出</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3.2.2</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偿还长期借款本金</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3.2.3</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偿还短期借款本金</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3.2.4</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偿还流动资金借款本金</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3.2.5</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投资者分配利润</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730.22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50.54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86.30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3.2.6</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其他流出</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净现金流量（1+2+3）</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454.26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66.16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65.23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46.12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46.12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46.12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46.12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46.12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46.12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46.12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5</w:t>
            </w:r>
          </w:p>
        </w:tc>
        <w:tc>
          <w:tcPr>
            <w:tcW w:w="8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累计盈余资金</w:t>
            </w:r>
          </w:p>
        </w:tc>
        <w:tc>
          <w:tcPr>
            <w:tcW w:w="3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66.16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131.39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177.51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223.64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269.76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315.89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362.01 </w:t>
            </w:r>
          </w:p>
        </w:tc>
        <w:tc>
          <w:tcPr>
            <w:tcW w:w="3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408.14 </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454.26 </w:t>
            </w:r>
          </w:p>
        </w:tc>
      </w:tr>
    </w:tbl>
    <w:p>
      <w:pPr>
        <w:pStyle w:val="32"/>
        <w:spacing w:line="560" w:lineRule="exact"/>
        <w:ind w:firstLine="31680"/>
        <w:jc w:val="left"/>
        <w:rPr>
          <w:rFonts w:ascii="Times New Roman" w:hAnsi="Times New Roman"/>
          <w:color w:val="auto"/>
          <w:sz w:val="28"/>
          <w:szCs w:val="28"/>
          <w:highlight w:val="none"/>
        </w:rPr>
      </w:pPr>
    </w:p>
    <w:p>
      <w:pPr>
        <w:pStyle w:val="32"/>
        <w:spacing w:line="560" w:lineRule="exact"/>
        <w:ind w:firstLine="31680"/>
        <w:jc w:val="left"/>
        <w:rPr>
          <w:rFonts w:ascii="Times New Roman" w:hAnsi="Times New Roman"/>
          <w:color w:val="auto"/>
          <w:sz w:val="28"/>
          <w:szCs w:val="28"/>
          <w:highlight w:val="none"/>
        </w:rPr>
      </w:pPr>
    </w:p>
    <w:p>
      <w:pPr>
        <w:pStyle w:val="32"/>
        <w:spacing w:line="560" w:lineRule="exact"/>
        <w:ind w:firstLine="31680"/>
        <w:jc w:val="left"/>
        <w:rPr>
          <w:rFonts w:ascii="Times New Roman" w:hAnsi="Times New Roman"/>
          <w:color w:val="auto"/>
          <w:sz w:val="28"/>
          <w:szCs w:val="28"/>
          <w:highlight w:val="none"/>
        </w:rPr>
      </w:pPr>
    </w:p>
    <w:p>
      <w:pPr>
        <w:pStyle w:val="32"/>
        <w:spacing w:line="560" w:lineRule="exact"/>
        <w:ind w:firstLine="31680"/>
        <w:jc w:val="left"/>
        <w:rPr>
          <w:rFonts w:ascii="Times New Roman" w:hAnsi="Times New Roman"/>
          <w:color w:val="auto"/>
          <w:sz w:val="28"/>
          <w:szCs w:val="28"/>
          <w:highlight w:val="none"/>
        </w:rPr>
        <w:sectPr>
          <w:pgSz w:w="16838" w:h="11906" w:orient="landscape"/>
          <w:pgMar w:top="1800" w:right="1440" w:bottom="1800" w:left="1440" w:header="851" w:footer="992" w:gutter="0"/>
          <w:cols w:space="425" w:num="1"/>
          <w:docGrid w:type="lines" w:linePitch="312" w:charSpace="0"/>
        </w:sectPr>
      </w:pPr>
    </w:p>
    <w:p>
      <w:pPr>
        <w:pStyle w:val="32"/>
        <w:spacing w:line="560" w:lineRule="exact"/>
        <w:ind w:firstLine="31680"/>
        <w:jc w:val="left"/>
        <w:rPr>
          <w:rFonts w:ascii="Times New Roman" w:hAnsi="Times New Roman"/>
          <w:color w:val="auto"/>
          <w:sz w:val="28"/>
          <w:szCs w:val="28"/>
          <w:highlight w:val="none"/>
        </w:rPr>
      </w:pPr>
      <w:r>
        <w:rPr>
          <w:rFonts w:hint="eastAsia" w:ascii="Times New Roman" w:hAnsi="Times New Roman"/>
          <w:color w:val="auto"/>
          <w:sz w:val="28"/>
          <w:szCs w:val="28"/>
          <w:highlight w:val="none"/>
        </w:rPr>
        <w:t>附表</w:t>
      </w:r>
      <w:r>
        <w:rPr>
          <w:rFonts w:ascii="Times New Roman" w:hAnsi="Times New Roman"/>
          <w:color w:val="auto"/>
          <w:sz w:val="28"/>
          <w:szCs w:val="28"/>
          <w:highlight w:val="none"/>
        </w:rPr>
        <w:t>3</w:t>
      </w:r>
      <w:r>
        <w:rPr>
          <w:rFonts w:hint="eastAsia" w:ascii="Times New Roman" w:hAnsi="Times New Roman"/>
          <w:color w:val="auto"/>
          <w:sz w:val="28"/>
          <w:szCs w:val="28"/>
          <w:highlight w:val="none"/>
        </w:rPr>
        <w:t>：总成本费用估算表</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53"/>
        <w:gridCol w:w="1810"/>
        <w:gridCol w:w="1150"/>
        <w:gridCol w:w="1000"/>
        <w:gridCol w:w="1038"/>
        <w:gridCol w:w="1038"/>
        <w:gridCol w:w="1038"/>
        <w:gridCol w:w="1038"/>
        <w:gridCol w:w="1038"/>
        <w:gridCol w:w="1038"/>
        <w:gridCol w:w="1038"/>
        <w:gridCol w:w="1038"/>
        <w:gridCol w:w="115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000" w:type="pct"/>
            <w:gridSpan w:val="13"/>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ascii="Microsoft Sans Serif" w:hAnsi="Microsoft Sans Serif" w:eastAsia="Microsoft Sans Serif" w:cs="Microsoft Sans Serif"/>
                <w:i/>
                <w:iCs/>
                <w:color w:val="auto"/>
                <w:sz w:val="22"/>
                <w:szCs w:val="22"/>
                <w:highlight w:val="none"/>
                <w:u w:val="none"/>
              </w:rPr>
            </w:pPr>
            <w:r>
              <w:rPr>
                <w:rFonts w:hint="eastAsia" w:ascii="Microsoft Sans Serif" w:hAnsi="Microsoft Sans Serif" w:eastAsia="Microsoft Sans Serif" w:cs="Microsoft Sans Serif"/>
                <w:i/>
                <w:iCs/>
                <w:color w:val="auto"/>
                <w:kern w:val="0"/>
                <w:sz w:val="22"/>
                <w:szCs w:val="22"/>
                <w:highlight w:val="none"/>
                <w:u w:val="none"/>
                <w:lang w:val="en-US" w:eastAsia="zh-CN" w:bidi="ar"/>
              </w:rPr>
              <w:t xml:space="preserve">                                                                                                           </w:t>
            </w:r>
            <w:r>
              <w:rPr>
                <w:rFonts w:hint="default" w:ascii="Microsoft Sans Serif" w:hAnsi="Microsoft Sans Serif" w:eastAsia="Microsoft Sans Serif" w:cs="Microsoft Sans Serif"/>
                <w:i/>
                <w:iCs/>
                <w:color w:val="auto"/>
                <w:kern w:val="0"/>
                <w:sz w:val="22"/>
                <w:szCs w:val="22"/>
                <w:highlight w:val="none"/>
                <w:u w:val="none"/>
                <w:lang w:val="en-US" w:eastAsia="zh-CN" w:bidi="ar"/>
              </w:rPr>
              <w:t xml:space="preserve">      单位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项目名称</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合计</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第1年</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第2年</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第3年</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第4年</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第5年</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第6年</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第7年</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第8年</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第9年</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生产负荷</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870.00 </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100.00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外购原材料费</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31997.58 </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2574.52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3677.88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3677.88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3677.88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3677.88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3677.88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3677.88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3677.88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3677.88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外购辅助材料费</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外购燃料费</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外购动力费</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215.76 </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17.36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24.80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24.80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24.80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24.80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24.80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24.80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24.80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24.80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5</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工资及福利费</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6</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修理费</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146.60 </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16.29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7</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其他费用</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689.85 </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55.50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79.29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79.29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79.29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79.29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79.29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79.29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79.29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79.29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经营成本</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33049.79 </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2663.67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9</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折旧费</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330.36 </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10</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摊销费</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利息支出</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总成本费用</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33380.14 </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2700.38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其中：可变成本</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32903.18 </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2647.38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3781.98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3781.98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3781.98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3781.98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3781.98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3781.98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3781.98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3781.98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6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固定成本</w:t>
            </w:r>
          </w:p>
        </w:tc>
        <w:tc>
          <w:tcPr>
            <w:tcW w:w="4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476.96 </w:t>
            </w:r>
          </w:p>
        </w:tc>
        <w:tc>
          <w:tcPr>
            <w:tcW w:w="3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53.00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53.00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53.00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53.00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53.00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53.00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53.00 </w:t>
            </w:r>
          </w:p>
        </w:tc>
        <w:tc>
          <w:tcPr>
            <w:tcW w:w="36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53.00 </w:t>
            </w:r>
          </w:p>
        </w:tc>
        <w:tc>
          <w:tcPr>
            <w:tcW w:w="3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53.00 </w:t>
            </w:r>
          </w:p>
        </w:tc>
      </w:tr>
    </w:tbl>
    <w:p>
      <w:pPr>
        <w:pStyle w:val="32"/>
        <w:spacing w:line="560" w:lineRule="exact"/>
        <w:ind w:firstLine="31680"/>
        <w:jc w:val="left"/>
        <w:rPr>
          <w:rFonts w:ascii="Times New Roman" w:hAnsi="Times New Roman"/>
          <w:color w:val="auto"/>
          <w:sz w:val="28"/>
          <w:szCs w:val="28"/>
          <w:highlight w:val="none"/>
        </w:rPr>
      </w:pPr>
    </w:p>
    <w:p>
      <w:pPr>
        <w:pStyle w:val="32"/>
        <w:spacing w:line="560" w:lineRule="exact"/>
        <w:ind w:firstLine="0" w:firstLineChars="0"/>
        <w:jc w:val="left"/>
        <w:rPr>
          <w:rFonts w:ascii="宋体" w:cs="宋体"/>
          <w:color w:val="auto"/>
          <w:sz w:val="28"/>
          <w:szCs w:val="28"/>
          <w:highlight w:val="none"/>
        </w:rPr>
      </w:pPr>
    </w:p>
    <w:p>
      <w:pPr>
        <w:pStyle w:val="32"/>
        <w:spacing w:line="560" w:lineRule="exact"/>
        <w:ind w:firstLine="31680"/>
        <w:jc w:val="left"/>
        <w:rPr>
          <w:rFonts w:ascii="Times New Roman" w:hAnsi="Times New Roman"/>
          <w:color w:val="auto"/>
          <w:sz w:val="28"/>
          <w:szCs w:val="28"/>
          <w:highlight w:val="none"/>
        </w:rPr>
        <w:sectPr>
          <w:pgSz w:w="16838" w:h="11906" w:orient="landscape"/>
          <w:pgMar w:top="1800" w:right="1440" w:bottom="1800" w:left="1440" w:header="851" w:footer="992" w:gutter="0"/>
          <w:cols w:space="425" w:num="1"/>
          <w:docGrid w:type="lines" w:linePitch="312" w:charSpace="0"/>
        </w:sectPr>
      </w:pPr>
    </w:p>
    <w:p>
      <w:pPr>
        <w:pStyle w:val="32"/>
        <w:spacing w:line="560" w:lineRule="exact"/>
        <w:ind w:firstLine="31680"/>
        <w:jc w:val="left"/>
        <w:rPr>
          <w:rFonts w:hint="eastAsia" w:ascii="Times New Roman" w:hAnsi="Times New Roman"/>
          <w:color w:val="auto"/>
          <w:sz w:val="28"/>
          <w:szCs w:val="28"/>
          <w:highlight w:val="none"/>
        </w:rPr>
      </w:pPr>
      <w:r>
        <w:rPr>
          <w:rFonts w:hint="eastAsia" w:ascii="Times New Roman" w:hAnsi="Times New Roman"/>
          <w:color w:val="auto"/>
          <w:sz w:val="28"/>
          <w:szCs w:val="28"/>
          <w:highlight w:val="none"/>
        </w:rPr>
        <w:t>附表</w:t>
      </w:r>
      <w:r>
        <w:rPr>
          <w:rFonts w:ascii="Times New Roman" w:hAnsi="Times New Roman"/>
          <w:color w:val="auto"/>
          <w:sz w:val="28"/>
          <w:szCs w:val="28"/>
          <w:highlight w:val="none"/>
        </w:rPr>
        <w:t>4</w:t>
      </w:r>
      <w:r>
        <w:rPr>
          <w:rFonts w:hint="eastAsia" w:ascii="Times New Roman" w:hAnsi="Times New Roman"/>
          <w:color w:val="auto"/>
          <w:sz w:val="28"/>
          <w:szCs w:val="28"/>
          <w:highlight w:val="none"/>
        </w:rPr>
        <w:t>：项目投资现金流量表</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961"/>
        <w:gridCol w:w="3219"/>
        <w:gridCol w:w="1054"/>
        <w:gridCol w:w="894"/>
        <w:gridCol w:w="894"/>
        <w:gridCol w:w="894"/>
        <w:gridCol w:w="894"/>
        <w:gridCol w:w="894"/>
        <w:gridCol w:w="894"/>
        <w:gridCol w:w="894"/>
        <w:gridCol w:w="894"/>
        <w:gridCol w:w="894"/>
        <w:gridCol w:w="89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4174" w:type="dxa"/>
            <w:gridSpan w:val="13"/>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ascii="Microsoft Sans Serif" w:hAnsi="Microsoft Sans Serif" w:eastAsia="Microsoft Sans Serif" w:cs="Microsoft Sans Serif"/>
                <w:i/>
                <w:iCs/>
                <w:color w:val="auto"/>
                <w:sz w:val="22"/>
                <w:szCs w:val="22"/>
                <w:highlight w:val="none"/>
                <w:u w:val="none"/>
              </w:rPr>
            </w:pPr>
            <w:r>
              <w:rPr>
                <w:rFonts w:hint="eastAsia" w:ascii="Microsoft Sans Serif" w:hAnsi="Microsoft Sans Serif" w:eastAsia="Microsoft Sans Serif" w:cs="Microsoft Sans Serif"/>
                <w:i/>
                <w:iCs/>
                <w:color w:val="auto"/>
                <w:kern w:val="0"/>
                <w:sz w:val="22"/>
                <w:szCs w:val="22"/>
                <w:highlight w:val="none"/>
                <w:u w:val="none"/>
                <w:lang w:val="en-US" w:eastAsia="zh-CN" w:bidi="ar"/>
              </w:rPr>
              <w:t xml:space="preserve">                                                                                                              </w:t>
            </w:r>
            <w:r>
              <w:rPr>
                <w:rFonts w:hint="default" w:ascii="Microsoft Sans Serif" w:hAnsi="Microsoft Sans Serif" w:eastAsia="Microsoft Sans Serif" w:cs="Microsoft Sans Serif"/>
                <w:i/>
                <w:iCs/>
                <w:color w:val="auto"/>
                <w:kern w:val="0"/>
                <w:sz w:val="22"/>
                <w:szCs w:val="22"/>
                <w:highlight w:val="none"/>
                <w:u w:val="none"/>
                <w:lang w:val="en-US" w:eastAsia="zh-CN" w:bidi="ar"/>
              </w:rPr>
              <w:t xml:space="preserve">      单位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项目名称</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合计</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第1年</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第2年</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第3年</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第4年</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第5年</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第6年</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第7年</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第8年</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第9年</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现金流入</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34612.01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2799.09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3983.57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4041.51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营业收入</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34492.37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2775.25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补贴收入</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1.3</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其他收入</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1.4</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设备增值税抵扣</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42.77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23.84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18.93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1.5</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回收资产余值</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76.87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76.87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1.5.1</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回收固定资产余值</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76.87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76.87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1.5.2</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回收无形资产及其他资产余值</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1.6</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回收流动资金</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现金流出</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33530.21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2663.67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3800.08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3802.35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3802.35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3802.35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3802.35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3802.35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3802.35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3802.35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建设投资</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流动资金</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2.3</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经营成本</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33049.79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2663.67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3798.26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2.4</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税金及附加</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30.42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1.81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2.5</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维持运营投资</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2.6</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其它现金流出</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所得税前净现金流量（1-2）</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1081.81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135.41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183.49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239.16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累计所得税前净现金流量</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-314.59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-131.09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31.20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193.49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355.78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518.06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680.35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842.64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1081.81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5</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调整所得税</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270.45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18.72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31.96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6</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所得税后净现金流量（3-5）</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811.35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116.70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151.53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130.89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207.77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7</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累计所得税后净现金流量</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-333.30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-181.77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-50.88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80.01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210.91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341.80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472.69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603.59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811.35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计算指标</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指标名称 1-所得税前 2-所得税后</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2.00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项目财务内部收益率（％）</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33.15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26.14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项目投资财务净现值（税前I=12%，税后I=12%）</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388.70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249.04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项目投资静态回收期（年）</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3.81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4.39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2" w:hRule="atLeast"/>
        </w:trPr>
        <w:tc>
          <w:tcPr>
            <w:tcW w:w="96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项目动态投资回收期（年）</w:t>
            </w:r>
          </w:p>
        </w:tc>
        <w:tc>
          <w:tcPr>
            <w:tcW w:w="1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4.65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5.66 </w:t>
            </w: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89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bl>
    <w:p>
      <w:pPr>
        <w:pStyle w:val="32"/>
        <w:spacing w:line="560" w:lineRule="exact"/>
        <w:ind w:firstLine="31680"/>
        <w:jc w:val="left"/>
        <w:rPr>
          <w:rFonts w:ascii="Times New Roman" w:hAnsi="Times New Roman"/>
          <w:color w:val="auto"/>
          <w:sz w:val="28"/>
          <w:szCs w:val="28"/>
          <w:highlight w:val="none"/>
        </w:rPr>
      </w:pPr>
    </w:p>
    <w:p>
      <w:pPr>
        <w:pStyle w:val="32"/>
        <w:spacing w:line="560" w:lineRule="exact"/>
        <w:ind w:firstLine="31680"/>
        <w:jc w:val="left"/>
        <w:rPr>
          <w:rFonts w:ascii="Times New Roman" w:hAnsi="Times New Roman"/>
          <w:color w:val="auto"/>
          <w:sz w:val="28"/>
          <w:szCs w:val="28"/>
          <w:highlight w:val="none"/>
        </w:rPr>
      </w:pPr>
    </w:p>
    <w:p>
      <w:pPr>
        <w:pStyle w:val="32"/>
        <w:spacing w:line="560" w:lineRule="exact"/>
        <w:ind w:firstLine="0" w:firstLineChars="0"/>
        <w:jc w:val="left"/>
        <w:rPr>
          <w:rFonts w:ascii="宋体" w:cs="宋体"/>
          <w:color w:val="auto"/>
          <w:sz w:val="28"/>
          <w:szCs w:val="28"/>
          <w:highlight w:val="none"/>
        </w:rPr>
      </w:pPr>
    </w:p>
    <w:p>
      <w:pPr>
        <w:pStyle w:val="32"/>
        <w:spacing w:line="560" w:lineRule="exact"/>
        <w:ind w:firstLine="31680"/>
        <w:jc w:val="left"/>
        <w:rPr>
          <w:rFonts w:ascii="Times New Roman" w:hAnsi="Times New Roman"/>
          <w:color w:val="auto"/>
          <w:sz w:val="28"/>
          <w:szCs w:val="28"/>
          <w:highlight w:val="none"/>
        </w:rPr>
        <w:sectPr>
          <w:pgSz w:w="16838" w:h="11906" w:orient="landscape"/>
          <w:pgMar w:top="1800" w:right="1440" w:bottom="1800" w:left="1440" w:header="851" w:footer="992" w:gutter="0"/>
          <w:cols w:space="425" w:num="1"/>
          <w:docGrid w:type="lines" w:linePitch="312" w:charSpace="0"/>
        </w:sectPr>
      </w:pPr>
    </w:p>
    <w:p>
      <w:pPr>
        <w:pStyle w:val="32"/>
        <w:spacing w:line="560" w:lineRule="exact"/>
        <w:ind w:firstLine="31680"/>
        <w:jc w:val="left"/>
        <w:rPr>
          <w:rFonts w:ascii="Times New Roman" w:hAnsi="Times New Roman"/>
          <w:color w:val="auto"/>
          <w:sz w:val="28"/>
          <w:szCs w:val="28"/>
          <w:highlight w:val="none"/>
        </w:rPr>
      </w:pPr>
      <w:r>
        <w:rPr>
          <w:rFonts w:hint="eastAsia" w:ascii="Times New Roman" w:hAnsi="Times New Roman"/>
          <w:color w:val="auto"/>
          <w:sz w:val="28"/>
          <w:szCs w:val="28"/>
          <w:highlight w:val="none"/>
        </w:rPr>
        <w:t>附表</w:t>
      </w:r>
      <w:r>
        <w:rPr>
          <w:rFonts w:ascii="Times New Roman" w:hAnsi="Times New Roman"/>
          <w:color w:val="auto"/>
          <w:sz w:val="28"/>
          <w:szCs w:val="28"/>
          <w:highlight w:val="none"/>
        </w:rPr>
        <w:t>5</w:t>
      </w:r>
      <w:r>
        <w:rPr>
          <w:rFonts w:hint="eastAsia" w:ascii="Times New Roman" w:hAnsi="Times New Roman"/>
          <w:color w:val="auto"/>
          <w:sz w:val="28"/>
          <w:szCs w:val="28"/>
          <w:highlight w:val="none"/>
        </w:rPr>
        <w:t>：建设投资估算表</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02"/>
        <w:gridCol w:w="2318"/>
        <w:gridCol w:w="1072"/>
        <w:gridCol w:w="1072"/>
        <w:gridCol w:w="1072"/>
        <w:gridCol w:w="1072"/>
        <w:gridCol w:w="1919"/>
        <w:gridCol w:w="1284"/>
        <w:gridCol w:w="1497"/>
        <w:gridCol w:w="1072"/>
        <w:gridCol w:w="109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000" w:type="pct"/>
            <w:gridSpan w:val="11"/>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ascii="Microsoft Sans Serif" w:hAnsi="Microsoft Sans Serif" w:eastAsia="Microsoft Sans Serif" w:cs="Microsoft Sans Serif"/>
                <w:i/>
                <w:iCs/>
                <w:color w:val="auto"/>
                <w:sz w:val="22"/>
                <w:szCs w:val="22"/>
                <w:highlight w:val="none"/>
                <w:u w:val="none"/>
              </w:rPr>
            </w:pPr>
            <w:r>
              <w:rPr>
                <w:rFonts w:hint="eastAsia" w:ascii="Microsoft Sans Serif" w:hAnsi="Microsoft Sans Serif" w:eastAsia="Microsoft Sans Serif" w:cs="Microsoft Sans Serif"/>
                <w:i/>
                <w:iCs/>
                <w:color w:val="auto"/>
                <w:kern w:val="0"/>
                <w:sz w:val="22"/>
                <w:szCs w:val="22"/>
                <w:highlight w:val="none"/>
                <w:u w:val="none"/>
                <w:lang w:val="en-US" w:eastAsia="zh-CN" w:bidi="ar"/>
              </w:rPr>
              <w:t xml:space="preserve">                                                                                                      </w:t>
            </w:r>
            <w:r>
              <w:rPr>
                <w:rFonts w:hint="default" w:ascii="Microsoft Sans Serif" w:hAnsi="Microsoft Sans Serif" w:eastAsia="Microsoft Sans Serif" w:cs="Microsoft Sans Serif"/>
                <w:i/>
                <w:iCs/>
                <w:color w:val="auto"/>
                <w:kern w:val="0"/>
                <w:sz w:val="22"/>
                <w:szCs w:val="22"/>
                <w:highlight w:val="none"/>
                <w:u w:val="none"/>
                <w:lang w:val="en-US" w:eastAsia="zh-CN" w:bidi="ar"/>
              </w:rPr>
              <w:t xml:space="preserve">   单位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项目名称</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建筑工程</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设备购置</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安装工程</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其他费用</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可抵扣税金(万元)</w:t>
            </w: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合计(万元)</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单位投资(元)</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其中外币</w:t>
            </w: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费用占比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固定资产费用</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42.77 </w:t>
            </w: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440.00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97.78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工程费用</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42.77 </w:t>
            </w: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88.89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1.1.1</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主要生产项目</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42.77 </w:t>
            </w: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88.89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固定资产其他费用</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8.89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1.2.1</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建设单位管理费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1.11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1.2.2</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勘察设计费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2.22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1.2.3</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可研报告编制费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0.89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1.2.4</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劳动安全卫生评价费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1.11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1.2.5</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环境评价费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1.11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1.2.6</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临时设施费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0.67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1.2.7</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工程保险费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0.44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1.2.8</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联合试运转费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0.44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1.2.9</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安全生产费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0.89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无形资产费用</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专利及专有技术使用费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土地使用权出让金及契税</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其他资产费用</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3.1</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生成准备及开办费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预备费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2.22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4.1</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基本预备费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2.22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4.2</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价差预备费</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5</w:t>
            </w: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建设投资合计</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40.00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50.00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42.77 </w:t>
            </w: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单位投资（元）</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4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8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占总投资比重（%）</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13.33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66.67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8.89 </w:t>
            </w: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11.11 </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5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bl>
    <w:p>
      <w:pPr>
        <w:pStyle w:val="32"/>
        <w:spacing w:line="560" w:lineRule="exact"/>
        <w:ind w:firstLine="31680"/>
        <w:jc w:val="left"/>
        <w:rPr>
          <w:rFonts w:ascii="Times New Roman" w:hAnsi="Times New Roman"/>
          <w:color w:val="auto"/>
          <w:sz w:val="28"/>
          <w:szCs w:val="28"/>
          <w:highlight w:val="none"/>
        </w:rPr>
        <w:sectPr>
          <w:pgSz w:w="16838" w:h="11906" w:orient="landscape"/>
          <w:pgMar w:top="1800" w:right="1440" w:bottom="1800" w:left="1440" w:header="851" w:footer="992" w:gutter="0"/>
          <w:cols w:space="425" w:num="1"/>
          <w:docGrid w:type="lines" w:linePitch="312" w:charSpace="0"/>
        </w:sectPr>
      </w:pPr>
    </w:p>
    <w:p>
      <w:pPr>
        <w:pStyle w:val="32"/>
        <w:spacing w:line="560" w:lineRule="exact"/>
        <w:ind w:firstLine="31680"/>
        <w:jc w:val="left"/>
        <w:rPr>
          <w:rFonts w:ascii="Times New Roman" w:hAnsi="Times New Roman"/>
          <w:color w:val="auto"/>
          <w:sz w:val="28"/>
          <w:szCs w:val="28"/>
          <w:highlight w:val="none"/>
        </w:rPr>
      </w:pPr>
      <w:r>
        <w:rPr>
          <w:rFonts w:hint="eastAsia" w:ascii="Times New Roman" w:hAnsi="Times New Roman"/>
          <w:color w:val="auto"/>
          <w:sz w:val="28"/>
          <w:szCs w:val="28"/>
          <w:highlight w:val="none"/>
        </w:rPr>
        <w:t>附表</w:t>
      </w:r>
      <w:r>
        <w:rPr>
          <w:rFonts w:ascii="Times New Roman" w:hAnsi="Times New Roman"/>
          <w:color w:val="auto"/>
          <w:sz w:val="28"/>
          <w:szCs w:val="28"/>
          <w:highlight w:val="none"/>
        </w:rPr>
        <w:t>6</w:t>
      </w:r>
      <w:r>
        <w:rPr>
          <w:rFonts w:hint="eastAsia" w:ascii="Times New Roman" w:hAnsi="Times New Roman"/>
          <w:color w:val="auto"/>
          <w:sz w:val="28"/>
          <w:szCs w:val="28"/>
          <w:highlight w:val="none"/>
        </w:rPr>
        <w:t>：项目总投资使用计划与资金筹措表</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767"/>
        <w:gridCol w:w="3459"/>
        <w:gridCol w:w="1581"/>
        <w:gridCol w:w="17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ascii="Microsoft Sans Serif" w:hAnsi="Microsoft Sans Serif" w:eastAsia="Microsoft Sans Serif" w:cs="Microsoft Sans Serif"/>
                <w:i/>
                <w:iCs/>
                <w:color w:val="auto"/>
                <w:sz w:val="22"/>
                <w:szCs w:val="22"/>
                <w:highlight w:val="none"/>
                <w:u w:val="none"/>
              </w:rPr>
            </w:pPr>
            <w:r>
              <w:rPr>
                <w:rFonts w:hint="eastAsia" w:ascii="Microsoft Sans Serif" w:hAnsi="Microsoft Sans Serif" w:eastAsia="Microsoft Sans Serif" w:cs="Microsoft Sans Serif"/>
                <w:i/>
                <w:iCs/>
                <w:color w:val="auto"/>
                <w:kern w:val="0"/>
                <w:sz w:val="22"/>
                <w:szCs w:val="22"/>
                <w:highlight w:val="none"/>
                <w:u w:val="none"/>
                <w:lang w:val="en-US" w:eastAsia="zh-CN" w:bidi="ar"/>
              </w:rPr>
              <w:t xml:space="preserve">                                                                </w:t>
            </w:r>
            <w:r>
              <w:rPr>
                <w:rFonts w:hint="default" w:ascii="Microsoft Sans Serif" w:hAnsi="Microsoft Sans Serif" w:eastAsia="Microsoft Sans Serif" w:cs="Microsoft Sans Serif"/>
                <w:i/>
                <w:iCs/>
                <w:color w:val="auto"/>
                <w:kern w:val="0"/>
                <w:sz w:val="22"/>
                <w:szCs w:val="22"/>
                <w:highlight w:val="none"/>
                <w:u w:val="none"/>
                <w:lang w:val="en-US" w:eastAsia="zh-CN" w:bidi="ar"/>
              </w:rPr>
              <w:t xml:space="preserve">    单位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项目名称</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合计</w:t>
            </w: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总投资</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建设投资</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建设期利息</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1.3</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流动资金</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资金筹措</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项目资本金参考值</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项目资本金</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2.1.1</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用于建设投资</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2.1.1.1</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股本投资</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2.1.1.2</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企业经营收益</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2.1.1.3</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企业现有货币资金</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2.1.1.4</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企业未来经营收益</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2.1.2</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用于流动资金</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2.1.2.1</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股本投资</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2.1.2.2</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企业经营收益</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2.1.2.3</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企业现有货币资金</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2.1.2.4</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企业未来经营收益</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2.1.3</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用于建设期利息</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2.1.3.1</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股本投资</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2.1.3.2</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企业经营收益</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2.1.3.3</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企业现有货币资金</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2.1.3.4</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企业未来经营收益</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债务资金参考值</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债务资金</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2.2.1</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用于建设投资</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2.2.2</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用于建设期利息</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2.2.3</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用于流动资金</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2.2.3.1</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流动资金借款</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2.3</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其它资金</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资产</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450.00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负债</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5</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资产负债率</w:t>
            </w:r>
          </w:p>
        </w:tc>
        <w:tc>
          <w:tcPr>
            <w:tcW w:w="9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10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bl>
    <w:p>
      <w:pPr>
        <w:pStyle w:val="32"/>
        <w:spacing w:line="560" w:lineRule="exact"/>
        <w:ind w:firstLine="31680"/>
        <w:jc w:val="left"/>
        <w:rPr>
          <w:rFonts w:ascii="Times New Roman" w:hAnsi="Times New Roman"/>
          <w:color w:val="auto"/>
          <w:sz w:val="28"/>
          <w:szCs w:val="28"/>
          <w:highlight w:val="none"/>
        </w:rPr>
        <w:sectPr>
          <w:pgSz w:w="11906" w:h="16838"/>
          <w:pgMar w:top="1440" w:right="1800" w:bottom="1440" w:left="1800" w:header="851" w:footer="992" w:gutter="0"/>
          <w:cols w:space="425" w:num="1"/>
          <w:docGrid w:type="lines" w:linePitch="312" w:charSpace="0"/>
        </w:sectPr>
      </w:pPr>
    </w:p>
    <w:p>
      <w:pPr>
        <w:pStyle w:val="32"/>
        <w:spacing w:line="560" w:lineRule="exact"/>
        <w:ind w:firstLine="31680"/>
        <w:jc w:val="left"/>
        <w:rPr>
          <w:rFonts w:ascii="Times New Roman" w:hAnsi="Times New Roman"/>
          <w:color w:val="auto"/>
          <w:sz w:val="28"/>
          <w:szCs w:val="28"/>
          <w:highlight w:val="none"/>
        </w:rPr>
      </w:pPr>
      <w:r>
        <w:rPr>
          <w:rFonts w:hint="eastAsia" w:ascii="Times New Roman" w:hAnsi="Times New Roman"/>
          <w:color w:val="auto"/>
          <w:sz w:val="28"/>
          <w:szCs w:val="28"/>
          <w:highlight w:val="none"/>
        </w:rPr>
        <w:t>附表</w:t>
      </w:r>
      <w:r>
        <w:rPr>
          <w:rFonts w:ascii="Times New Roman" w:hAnsi="Times New Roman"/>
          <w:color w:val="auto"/>
          <w:sz w:val="28"/>
          <w:szCs w:val="28"/>
          <w:highlight w:val="none"/>
        </w:rPr>
        <w:t>7</w:t>
      </w:r>
      <w:r>
        <w:rPr>
          <w:rFonts w:hint="eastAsia" w:ascii="Times New Roman" w:hAnsi="Times New Roman"/>
          <w:color w:val="auto"/>
          <w:sz w:val="28"/>
          <w:szCs w:val="28"/>
          <w:highlight w:val="none"/>
        </w:rPr>
        <w:t>：固定资产折旧估算表</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64"/>
        <w:gridCol w:w="1840"/>
        <w:gridCol w:w="1264"/>
        <w:gridCol w:w="1015"/>
        <w:gridCol w:w="1015"/>
        <w:gridCol w:w="1015"/>
        <w:gridCol w:w="1015"/>
        <w:gridCol w:w="1015"/>
        <w:gridCol w:w="1015"/>
        <w:gridCol w:w="1015"/>
        <w:gridCol w:w="1015"/>
        <w:gridCol w:w="1015"/>
        <w:gridCol w:w="117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13"/>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ascii="Microsoft Sans Serif" w:hAnsi="Microsoft Sans Serif" w:eastAsia="Microsoft Sans Serif" w:cs="Microsoft Sans Serif"/>
                <w:i/>
                <w:iCs/>
                <w:color w:val="auto"/>
                <w:sz w:val="22"/>
                <w:szCs w:val="22"/>
                <w:highlight w:val="none"/>
                <w:u w:val="none"/>
              </w:rPr>
            </w:pPr>
            <w:r>
              <w:rPr>
                <w:rFonts w:hint="eastAsia" w:ascii="Microsoft Sans Serif" w:hAnsi="Microsoft Sans Serif" w:eastAsia="Microsoft Sans Serif" w:cs="Microsoft Sans Serif"/>
                <w:i/>
                <w:iCs/>
                <w:color w:val="auto"/>
                <w:kern w:val="0"/>
                <w:sz w:val="22"/>
                <w:szCs w:val="22"/>
                <w:highlight w:val="none"/>
                <w:u w:val="none"/>
                <w:lang w:val="en-US" w:eastAsia="zh-CN" w:bidi="ar"/>
              </w:rPr>
              <w:t xml:space="preserve">                                                                                                             </w:t>
            </w:r>
            <w:r>
              <w:rPr>
                <w:rFonts w:hint="default" w:ascii="Microsoft Sans Serif" w:hAnsi="Microsoft Sans Serif" w:eastAsia="Microsoft Sans Serif" w:cs="Microsoft Sans Serif"/>
                <w:i/>
                <w:iCs/>
                <w:color w:val="auto"/>
                <w:kern w:val="0"/>
                <w:sz w:val="22"/>
                <w:szCs w:val="22"/>
                <w:highlight w:val="none"/>
                <w:u w:val="none"/>
                <w:lang w:val="en-US" w:eastAsia="zh-CN" w:bidi="ar"/>
              </w:rPr>
              <w:t xml:space="preserve">       单位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项目名称</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折旧年限</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第1年</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第2年</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第3年</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第4年</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第5年</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第6年</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第7年</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第8年</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第9年</w:t>
            </w: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固定资产合计</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407.23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原值合计</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407.23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407.23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407.23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407.23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407.23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407.23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407.23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407.23 </w:t>
            </w: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407.23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当期折旧费合计</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36.71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1.3</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净值合计</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370.52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333.82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297.11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260.40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223.70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186.99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150.29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113.58 </w:t>
            </w: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76.87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房屋、建筑物</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15.00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62.55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原值</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62.55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62.55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62.55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62.55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62.55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62.55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62.55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62.55 </w:t>
            </w: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62.55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折旧费</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 </w:t>
            </w: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2.3</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净值</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58.58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54.62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50.66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46.70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42.74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38.78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34.82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30.86 </w:t>
            </w: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26.89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机器设备</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10.00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344.68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3.1</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原值</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344.68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344.68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344.68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344.68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344.68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344.68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344.68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344.68 </w:t>
            </w: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344.68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3.2</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折旧费</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32.74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32.74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32.74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32.74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32.74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32.74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32.74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32.74 </w:t>
            </w: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32.74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3.3</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净值</w:t>
            </w:r>
          </w:p>
        </w:tc>
        <w:tc>
          <w:tcPr>
            <w:tcW w:w="4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311.94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279.19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246.45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213.70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180.96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148.21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115.47 </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82.72 </w:t>
            </w:r>
          </w:p>
        </w:tc>
        <w:tc>
          <w:tcPr>
            <w:tcW w:w="4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49.98 </w:t>
            </w:r>
          </w:p>
        </w:tc>
      </w:tr>
    </w:tbl>
    <w:p>
      <w:pPr>
        <w:pStyle w:val="32"/>
        <w:spacing w:line="560" w:lineRule="exact"/>
        <w:ind w:firstLine="31680"/>
        <w:jc w:val="left"/>
        <w:rPr>
          <w:rFonts w:ascii="宋体" w:cs="宋体"/>
          <w:color w:val="auto"/>
          <w:sz w:val="28"/>
          <w:szCs w:val="28"/>
          <w:highlight w:val="none"/>
        </w:rPr>
        <w:sectPr>
          <w:pgSz w:w="16838" w:h="11906" w:orient="landscape"/>
          <w:pgMar w:top="1800" w:right="1440" w:bottom="1800" w:left="1440" w:header="851" w:footer="992" w:gutter="0"/>
          <w:cols w:space="425" w:num="1"/>
          <w:docGrid w:type="lines" w:linePitch="312" w:charSpace="0"/>
        </w:sectPr>
      </w:pPr>
    </w:p>
    <w:p>
      <w:pPr>
        <w:pStyle w:val="32"/>
        <w:spacing w:line="560" w:lineRule="exact"/>
        <w:ind w:firstLine="31680"/>
        <w:jc w:val="left"/>
        <w:rPr>
          <w:rFonts w:hint="eastAsia" w:ascii="Times New Roman" w:hAnsi="Times New Roman"/>
          <w:color w:val="auto"/>
          <w:sz w:val="28"/>
          <w:szCs w:val="28"/>
          <w:highlight w:val="none"/>
        </w:rPr>
      </w:pPr>
      <w:r>
        <w:rPr>
          <w:rFonts w:hint="eastAsia" w:ascii="Times New Roman" w:hAnsi="Times New Roman"/>
          <w:color w:val="auto"/>
          <w:sz w:val="28"/>
          <w:szCs w:val="28"/>
          <w:highlight w:val="none"/>
        </w:rPr>
        <w:t>附表</w:t>
      </w:r>
      <w:r>
        <w:rPr>
          <w:rFonts w:ascii="Times New Roman" w:hAnsi="Times New Roman"/>
          <w:color w:val="auto"/>
          <w:sz w:val="28"/>
          <w:szCs w:val="28"/>
          <w:highlight w:val="none"/>
        </w:rPr>
        <w:t>8</w:t>
      </w:r>
      <w:r>
        <w:rPr>
          <w:rFonts w:hint="eastAsia" w:ascii="Times New Roman" w:hAnsi="Times New Roman"/>
          <w:color w:val="auto"/>
          <w:sz w:val="28"/>
          <w:szCs w:val="28"/>
          <w:highlight w:val="none"/>
        </w:rPr>
        <w:t>：营业收入、营业税金及附加和增值税估算表</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66"/>
        <w:gridCol w:w="2556"/>
        <w:gridCol w:w="666"/>
        <w:gridCol w:w="1026"/>
        <w:gridCol w:w="816"/>
        <w:gridCol w:w="936"/>
        <w:gridCol w:w="936"/>
        <w:gridCol w:w="936"/>
        <w:gridCol w:w="936"/>
        <w:gridCol w:w="937"/>
        <w:gridCol w:w="937"/>
        <w:gridCol w:w="937"/>
        <w:gridCol w:w="937"/>
        <w:gridCol w:w="9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14"/>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ascii="Microsoft Sans Serif" w:hAnsi="Microsoft Sans Serif" w:eastAsia="Microsoft Sans Serif" w:cs="Microsoft Sans Serif"/>
                <w:i/>
                <w:iCs/>
                <w:color w:val="auto"/>
                <w:sz w:val="22"/>
                <w:szCs w:val="22"/>
                <w:highlight w:val="none"/>
                <w:u w:val="none"/>
              </w:rPr>
            </w:pPr>
            <w:r>
              <w:rPr>
                <w:rFonts w:hint="eastAsia" w:ascii="Microsoft Sans Serif" w:hAnsi="Microsoft Sans Serif" w:eastAsia="Microsoft Sans Serif" w:cs="Microsoft Sans Serif"/>
                <w:i/>
                <w:iCs/>
                <w:color w:val="auto"/>
                <w:kern w:val="0"/>
                <w:sz w:val="22"/>
                <w:szCs w:val="22"/>
                <w:highlight w:val="none"/>
                <w:u w:val="none"/>
                <w:lang w:val="en-US" w:eastAsia="zh-CN" w:bidi="ar"/>
              </w:rPr>
              <w:t xml:space="preserve">                                                                                                              </w:t>
            </w:r>
            <w:r>
              <w:rPr>
                <w:rFonts w:hint="default" w:ascii="Microsoft Sans Serif" w:hAnsi="Microsoft Sans Serif" w:eastAsia="Microsoft Sans Serif" w:cs="Microsoft Sans Serif"/>
                <w:i/>
                <w:iCs/>
                <w:color w:val="auto"/>
                <w:kern w:val="0"/>
                <w:sz w:val="22"/>
                <w:szCs w:val="22"/>
                <w:highlight w:val="none"/>
                <w:u w:val="none"/>
                <w:lang w:val="en-US" w:eastAsia="zh-CN" w:bidi="ar"/>
              </w:rPr>
              <w:t xml:space="preserve">     单位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项目名称</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单位</w:t>
            </w: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合计</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第1年</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第2年</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第3年</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第4年</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第5年</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第6年</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第7年</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第8年</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第9年</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收入合计</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34492.37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2775.25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次氯酸钠</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1.1.1</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营业收入</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万元</w:t>
            </w: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34492.37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2775.25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1.1.2</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销售价格</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元/吨</w:t>
            </w: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495.58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495.58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495.58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495.58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495.58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495.58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495.58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495.58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495.58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1.1.3</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销售数量</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吨</w:t>
            </w: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696000.00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56000.00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80000.00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80000.00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80000.00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80000.00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80000.00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80000.00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80000.00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80000.00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1.1.4</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销项税额</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万元</w:t>
            </w: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4484.01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360.78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增值税</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253.50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15.12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34.05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销项税金</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4484.01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360.78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515.40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进项税金</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4230.50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360.78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500.28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2.2.1</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产品生产流通过程进项税</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4187.73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336.94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481.35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2.2.2</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免抵退税不得免征和抵扣税额</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2.2.3</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固定资产进项税</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42.77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2.2.4</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固定资产进项税当期抵扣额</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42.77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23.84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18.93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2.2.5</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结转未抵扣固定资产进项税额</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42.77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18.93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2.3</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免抵退税额</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税金及附加</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30.42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1.81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3.1</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消费税</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3.2</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城市建设维护费</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17.75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1.06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2.38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2.38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3.3</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教育费附加</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12.68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0.76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1.70 </w:t>
            </w: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1.70 </w:t>
            </w: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3.4</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资源税</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9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增值税退税</w:t>
            </w:r>
          </w:p>
        </w:tc>
        <w:tc>
          <w:tcPr>
            <w:tcW w:w="23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hint="eastAsia" w:ascii="宋体" w:hAnsi="宋体" w:eastAsia="宋体" w:cs="宋体"/>
                <w:i w:val="0"/>
                <w:iCs w:val="0"/>
                <w:color w:val="auto"/>
                <w:sz w:val="18"/>
                <w:szCs w:val="18"/>
                <w:highlight w:val="none"/>
                <w:u w:val="none"/>
              </w:rPr>
            </w:pPr>
          </w:p>
        </w:tc>
        <w:tc>
          <w:tcPr>
            <w:tcW w:w="3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0.00 </w:t>
            </w:r>
          </w:p>
        </w:tc>
        <w:tc>
          <w:tcPr>
            <w:tcW w:w="28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bl>
    <w:p>
      <w:pPr>
        <w:pStyle w:val="32"/>
        <w:spacing w:line="560" w:lineRule="exact"/>
        <w:ind w:firstLine="31680"/>
        <w:jc w:val="left"/>
        <w:rPr>
          <w:rFonts w:hint="eastAsia" w:ascii="Times New Roman" w:hAnsi="Times New Roman"/>
          <w:color w:val="auto"/>
          <w:sz w:val="28"/>
          <w:szCs w:val="28"/>
          <w:highlight w:val="none"/>
        </w:rPr>
      </w:pPr>
      <w:r>
        <w:rPr>
          <w:rFonts w:hint="eastAsia" w:ascii="Times New Roman" w:hAnsi="Times New Roman"/>
          <w:color w:val="auto"/>
          <w:sz w:val="28"/>
          <w:szCs w:val="28"/>
          <w:highlight w:val="none"/>
        </w:rPr>
        <w:t>附表</w:t>
      </w:r>
      <w:r>
        <w:rPr>
          <w:rFonts w:ascii="Times New Roman" w:hAnsi="Times New Roman"/>
          <w:color w:val="auto"/>
          <w:sz w:val="28"/>
          <w:szCs w:val="28"/>
          <w:highlight w:val="none"/>
        </w:rPr>
        <w:t>9</w:t>
      </w:r>
      <w:r>
        <w:rPr>
          <w:rFonts w:hint="eastAsia" w:ascii="Times New Roman" w:hAnsi="Times New Roman"/>
          <w:color w:val="auto"/>
          <w:sz w:val="28"/>
          <w:szCs w:val="28"/>
          <w:highlight w:val="none"/>
        </w:rPr>
        <w:t>：利润和利润分配表</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60"/>
        <w:gridCol w:w="3337"/>
        <w:gridCol w:w="1006"/>
        <w:gridCol w:w="879"/>
        <w:gridCol w:w="910"/>
        <w:gridCol w:w="910"/>
        <w:gridCol w:w="910"/>
        <w:gridCol w:w="910"/>
        <w:gridCol w:w="910"/>
        <w:gridCol w:w="910"/>
        <w:gridCol w:w="910"/>
        <w:gridCol w:w="910"/>
        <w:gridCol w:w="101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13"/>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ascii="Microsoft Sans Serif" w:hAnsi="Microsoft Sans Serif" w:eastAsia="Microsoft Sans Serif" w:cs="Microsoft Sans Serif"/>
                <w:i/>
                <w:iCs/>
                <w:color w:val="auto"/>
                <w:sz w:val="22"/>
                <w:szCs w:val="22"/>
                <w:highlight w:val="none"/>
                <w:u w:val="none"/>
              </w:rPr>
            </w:pPr>
            <w:r>
              <w:rPr>
                <w:rFonts w:hint="eastAsia" w:ascii="Microsoft Sans Serif" w:hAnsi="Microsoft Sans Serif" w:eastAsia="Microsoft Sans Serif" w:cs="Microsoft Sans Serif"/>
                <w:i/>
                <w:iCs/>
                <w:color w:val="auto"/>
                <w:kern w:val="0"/>
                <w:sz w:val="22"/>
                <w:szCs w:val="22"/>
                <w:highlight w:val="none"/>
                <w:u w:val="none"/>
                <w:lang w:val="en-US" w:eastAsia="zh-CN" w:bidi="ar"/>
              </w:rPr>
              <w:t xml:space="preserve">                                                                                                           </w:t>
            </w:r>
            <w:r>
              <w:rPr>
                <w:rFonts w:hint="default" w:ascii="Microsoft Sans Serif" w:hAnsi="Microsoft Sans Serif" w:eastAsia="Microsoft Sans Serif" w:cs="Microsoft Sans Serif"/>
                <w:i/>
                <w:iCs/>
                <w:color w:val="auto"/>
                <w:kern w:val="0"/>
                <w:sz w:val="22"/>
                <w:szCs w:val="22"/>
                <w:highlight w:val="none"/>
                <w:u w:val="none"/>
                <w:lang w:val="en-US" w:eastAsia="zh-CN" w:bidi="ar"/>
              </w:rPr>
              <w:t xml:space="preserve">      单位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项目名称</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合计</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第1年</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第2年</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第3年</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第4年</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第5年</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第6年</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第7年</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第8年</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第9年</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第10年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营业收入</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34492.37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2775.25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3964.64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税金及附加</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30.42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1.81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4.09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总成本费用</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33380.14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2700.38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3834.97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贴补收入</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5</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其他收入</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6</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利润总额（1-2-3+4+5）</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1081.81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74.87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127.85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7</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弥补以前年度亏损</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应纳税所得额（6-7）</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1081.81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74.87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127.85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9</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所得税</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270.45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18.72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31.96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31.40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10</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净利润（6-9）</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811.35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56.15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95.89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期初未分配利润</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可供分配的利润（10+11）</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56.15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95.89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94.19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13</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提取法定盈余公积金</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81.14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5.62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9.59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9.42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9.42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9.42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9.42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9.42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9.42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9.42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14</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职工奖励与福利基金</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15</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可供投资者分配的利润（12-13-14）</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50.54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86.30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16</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应付优先股股利</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17</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提取任意盈余公积金</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18</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应付普通股股利（15-16-17）</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50.54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86.30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19</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各投资方利润分配</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730.22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50.54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86.30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84.77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20</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未分配利润（18-19）</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21</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息税前利润</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1081.81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74.87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127.85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125.58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22</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息税折旧摊销前利润</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1412.16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111.58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164.56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162.29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23</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净资产收益率ROE（%）</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20.55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12.40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20.83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20.04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19.65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19.27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18.91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18.56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18.22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17.89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24</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经济附加值EVA（万元）</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578.18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-2.35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42.45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70.57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68.34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67.82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67.31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66.79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66.27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65.75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65.23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25</w:t>
            </w:r>
          </w:p>
        </w:tc>
        <w:tc>
          <w:tcPr>
            <w:tcW w:w="11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盈亏平衡点</w:t>
            </w:r>
          </w:p>
        </w:tc>
        <w:tc>
          <w:tcPr>
            <w:tcW w:w="35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29.63 </w:t>
            </w:r>
          </w:p>
        </w:tc>
        <w:tc>
          <w:tcPr>
            <w:tcW w:w="3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auto"/>
                <w:sz w:val="18"/>
                <w:szCs w:val="18"/>
                <w:highlight w:val="none"/>
                <w:u w:val="none"/>
              </w:rPr>
            </w:pP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41.45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29.30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29.68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29.68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29.68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29.68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29.68 </w:t>
            </w:r>
          </w:p>
        </w:tc>
        <w:tc>
          <w:tcPr>
            <w:tcW w:w="3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29.68 </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 xml:space="preserve">29.68 </w:t>
            </w:r>
          </w:p>
        </w:tc>
      </w:tr>
    </w:tbl>
    <w:p>
      <w:pPr>
        <w:pStyle w:val="32"/>
        <w:spacing w:line="560" w:lineRule="exact"/>
        <w:ind w:firstLine="31680"/>
        <w:jc w:val="left"/>
        <w:rPr>
          <w:rFonts w:ascii="Times New Roman" w:hAnsi="Times New Roman"/>
          <w:color w:val="auto"/>
          <w:sz w:val="28"/>
          <w:szCs w:val="28"/>
          <w:highlight w:val="none"/>
        </w:rPr>
      </w:pPr>
    </w:p>
    <w:p>
      <w:pPr>
        <w:pStyle w:val="32"/>
        <w:spacing w:line="560" w:lineRule="exact"/>
        <w:ind w:firstLine="31680"/>
        <w:jc w:val="left"/>
        <w:rPr>
          <w:rFonts w:ascii="Times New Roman" w:hAnsi="Times New Roman"/>
          <w:color w:val="auto"/>
          <w:sz w:val="28"/>
          <w:szCs w:val="28"/>
          <w:highlight w:val="none"/>
        </w:rPr>
      </w:pPr>
    </w:p>
    <w:p>
      <w:pPr>
        <w:pStyle w:val="32"/>
        <w:spacing w:line="560" w:lineRule="exact"/>
        <w:ind w:firstLine="31680"/>
        <w:jc w:val="left"/>
        <w:rPr>
          <w:rFonts w:ascii="宋体" w:cs="宋体"/>
          <w:color w:val="auto"/>
          <w:sz w:val="28"/>
          <w:szCs w:val="28"/>
          <w:highlight w:val="none"/>
        </w:rPr>
      </w:pPr>
    </w:p>
    <w:p>
      <w:pPr>
        <w:pStyle w:val="32"/>
        <w:spacing w:line="560" w:lineRule="exact"/>
        <w:ind w:firstLine="31680"/>
        <w:jc w:val="left"/>
        <w:rPr>
          <w:rFonts w:ascii="Times New Roman" w:hAnsi="Times New Roman"/>
          <w:color w:val="auto"/>
          <w:sz w:val="28"/>
          <w:szCs w:val="28"/>
          <w:highlight w:val="none"/>
        </w:rPr>
        <w:sectPr>
          <w:pgSz w:w="16838" w:h="11906" w:orient="landscape"/>
          <w:pgMar w:top="1800" w:right="1440" w:bottom="1800" w:left="1440" w:header="851" w:footer="992" w:gutter="0"/>
          <w:cols w:space="425" w:num="1"/>
          <w:docGrid w:type="lines" w:linePitch="312" w:charSpace="0"/>
        </w:sectPr>
      </w:pPr>
    </w:p>
    <w:p>
      <w:pPr>
        <w:pStyle w:val="32"/>
        <w:spacing w:line="560" w:lineRule="exact"/>
        <w:ind w:firstLine="31680"/>
        <w:jc w:val="left"/>
        <w:rPr>
          <w:rFonts w:ascii="Times New Roman" w:hAnsi="Times New Roman"/>
          <w:color w:val="auto"/>
          <w:sz w:val="28"/>
          <w:szCs w:val="28"/>
          <w:highlight w:val="none"/>
        </w:rPr>
      </w:pPr>
      <w:r>
        <w:rPr>
          <w:color w:val="auto"/>
          <w:highlight w:val="none"/>
        </w:rPr>
        <w:drawing>
          <wp:anchor distT="0" distB="0" distL="114300" distR="114300" simplePos="0" relativeHeight="251669504" behindDoc="0" locked="0" layoutInCell="1" allowOverlap="1">
            <wp:simplePos x="0" y="0"/>
            <wp:positionH relativeFrom="column">
              <wp:posOffset>205740</wp:posOffset>
            </wp:positionH>
            <wp:positionV relativeFrom="paragraph">
              <wp:posOffset>584200</wp:posOffset>
            </wp:positionV>
            <wp:extent cx="8760460" cy="4457065"/>
            <wp:effectExtent l="0" t="0" r="0" b="0"/>
            <wp:wrapTopAndBottom/>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11"/>
                    <a:stretch>
                      <a:fillRect/>
                    </a:stretch>
                  </pic:blipFill>
                  <pic:spPr>
                    <a:xfrm>
                      <a:off x="0" y="0"/>
                      <a:ext cx="8760460" cy="4457065"/>
                    </a:xfrm>
                    <a:prstGeom prst="rect">
                      <a:avLst/>
                    </a:prstGeom>
                    <a:noFill/>
                    <a:ln>
                      <a:noFill/>
                    </a:ln>
                  </pic:spPr>
                </pic:pic>
              </a:graphicData>
            </a:graphic>
          </wp:anchor>
        </w:drawing>
      </w:r>
      <w:r>
        <w:rPr>
          <w:rFonts w:hint="eastAsia" w:ascii="Times New Roman" w:hAnsi="Times New Roman"/>
          <w:color w:val="auto"/>
          <w:sz w:val="28"/>
          <w:szCs w:val="28"/>
          <w:highlight w:val="none"/>
        </w:rPr>
        <w:t>附图</w:t>
      </w:r>
      <w:r>
        <w:rPr>
          <w:rFonts w:ascii="Times New Roman" w:hAnsi="Times New Roman"/>
          <w:color w:val="auto"/>
          <w:sz w:val="28"/>
          <w:szCs w:val="28"/>
          <w:highlight w:val="none"/>
        </w:rPr>
        <w:t>1</w:t>
      </w:r>
      <w:r>
        <w:rPr>
          <w:rFonts w:hint="eastAsia" w:ascii="Times New Roman" w:hAnsi="Times New Roman"/>
          <w:color w:val="auto"/>
          <w:sz w:val="28"/>
          <w:szCs w:val="28"/>
          <w:highlight w:val="none"/>
        </w:rPr>
        <w:t>：区域位置图</w:t>
      </w:r>
    </w:p>
    <w:p>
      <w:pPr>
        <w:pStyle w:val="32"/>
        <w:spacing w:line="560" w:lineRule="exact"/>
        <w:ind w:firstLine="31680"/>
        <w:jc w:val="left"/>
        <w:rPr>
          <w:rFonts w:ascii="Times New Roman" w:hAnsi="Times New Roman"/>
          <w:color w:val="auto"/>
          <w:sz w:val="28"/>
          <w:szCs w:val="28"/>
          <w:highlight w:val="none"/>
        </w:rPr>
        <w:sectPr>
          <w:pgSz w:w="16838" w:h="11906" w:orient="landscape"/>
          <w:pgMar w:top="1800" w:right="1440" w:bottom="1800" w:left="1440" w:header="851" w:footer="992" w:gutter="0"/>
          <w:cols w:space="425" w:num="1"/>
          <w:docGrid w:type="lines" w:linePitch="312" w:charSpace="0"/>
        </w:sectPr>
      </w:pPr>
    </w:p>
    <w:p>
      <w:pPr>
        <w:pStyle w:val="32"/>
        <w:spacing w:line="560" w:lineRule="exact"/>
        <w:ind w:firstLine="31680"/>
        <w:jc w:val="left"/>
        <w:rPr>
          <w:rFonts w:ascii="Times New Roman" w:hAnsi="Times New Roman"/>
          <w:color w:val="auto"/>
          <w:sz w:val="28"/>
          <w:szCs w:val="28"/>
          <w:highlight w:val="none"/>
        </w:rPr>
      </w:pPr>
      <w:r>
        <w:rPr>
          <w:color w:val="auto"/>
          <w:highlight w:val="none"/>
        </w:rPr>
        <w:drawing>
          <wp:anchor distT="0" distB="0" distL="114300" distR="114300" simplePos="0" relativeHeight="251670528" behindDoc="1" locked="0" layoutInCell="1" allowOverlap="1">
            <wp:simplePos x="0" y="0"/>
            <wp:positionH relativeFrom="column">
              <wp:posOffset>0</wp:posOffset>
            </wp:positionH>
            <wp:positionV relativeFrom="paragraph">
              <wp:posOffset>443865</wp:posOffset>
            </wp:positionV>
            <wp:extent cx="8855710" cy="4561205"/>
            <wp:effectExtent l="0" t="0" r="0" b="0"/>
            <wp:wrapTight wrapText="bothSides">
              <wp:wrapPolygon>
                <wp:start x="-23" y="0"/>
                <wp:lineTo x="-23" y="21555"/>
                <wp:lineTo x="21600" y="21555"/>
                <wp:lineTo x="21600" y="0"/>
                <wp:lineTo x="-23" y="0"/>
              </wp:wrapPolygon>
            </wp:wrapTight>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2"/>
                    <a:stretch>
                      <a:fillRect/>
                    </a:stretch>
                  </pic:blipFill>
                  <pic:spPr>
                    <a:xfrm>
                      <a:off x="0" y="0"/>
                      <a:ext cx="8855710" cy="4561205"/>
                    </a:xfrm>
                    <a:prstGeom prst="rect">
                      <a:avLst/>
                    </a:prstGeom>
                    <a:noFill/>
                    <a:ln>
                      <a:noFill/>
                    </a:ln>
                  </pic:spPr>
                </pic:pic>
              </a:graphicData>
            </a:graphic>
          </wp:anchor>
        </w:drawing>
      </w:r>
      <w:r>
        <w:rPr>
          <w:rFonts w:hint="eastAsia" w:ascii="Times New Roman" w:hAnsi="Times New Roman"/>
          <w:color w:val="auto"/>
          <w:sz w:val="28"/>
          <w:szCs w:val="28"/>
          <w:highlight w:val="none"/>
        </w:rPr>
        <w:t>附图</w:t>
      </w:r>
      <w:r>
        <w:rPr>
          <w:rFonts w:ascii="Times New Roman" w:hAnsi="Times New Roman"/>
          <w:color w:val="auto"/>
          <w:sz w:val="28"/>
          <w:szCs w:val="28"/>
          <w:highlight w:val="none"/>
        </w:rPr>
        <w:t>2</w:t>
      </w:r>
      <w:r>
        <w:rPr>
          <w:rFonts w:hint="eastAsia" w:ascii="Times New Roman" w:hAnsi="Times New Roman"/>
          <w:color w:val="auto"/>
          <w:sz w:val="28"/>
          <w:szCs w:val="28"/>
          <w:highlight w:val="none"/>
        </w:rPr>
        <w:t>：项目布置图</w:t>
      </w:r>
    </w:p>
    <w:sectPr>
      <w:pgSz w:w="16838" w:h="11906"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幼圆">
    <w:panose1 w:val="02010509060101010101"/>
    <w:charset w:val="86"/>
    <w:family w:val="modern"/>
    <w:pitch w:val="default"/>
    <w:sig w:usb0="00000001" w:usb1="080E0000" w:usb2="00000000" w:usb3="00000000" w:csb0="00040000" w:csb1="00000000"/>
  </w:font>
  <w:font w:name="华文楷体">
    <w:panose1 w:val="02010600040101010101"/>
    <w:charset w:val="86"/>
    <w:family w:val="auto"/>
    <w:pitch w:val="default"/>
    <w:sig w:usb0="00000287" w:usb1="080F0000" w:usb2="00000000" w:usb3="00000000" w:csb0="0004009F" w:csb1="DFD70000"/>
  </w:font>
  <w:font w:name="微软雅黑">
    <w:panose1 w:val="020B0503020204020204"/>
    <w:charset w:val="86"/>
    <w:family w:val="swiss"/>
    <w:pitch w:val="default"/>
    <w:sig w:usb0="80000287" w:usb1="2ACF3C50" w:usb2="00000016" w:usb3="00000000" w:csb0="0004001F" w:csb1="00000000"/>
  </w:font>
  <w:font w:name="Microsoft Sans Serif">
    <w:panose1 w:val="020B0604020202020204"/>
    <w:charset w:val="00"/>
    <w:family w:val="swiss"/>
    <w:pitch w:val="default"/>
    <w:sig w:usb0="E5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rPr>
        <w:szCs w:val="18"/>
      </w:rPr>
    </w:pPr>
    <w:r>
      <mc:AlternateContent>
        <mc:Choice Requires="wps">
          <w:drawing>
            <wp:anchor distT="0" distB="0" distL="114300" distR="114300" simplePos="0" relativeHeight="251667456" behindDoc="0" locked="0" layoutInCell="1" allowOverlap="1">
              <wp:simplePos x="0" y="0"/>
              <wp:positionH relativeFrom="margin">
                <wp:align>right</wp:align>
              </wp:positionH>
              <wp:positionV relativeFrom="paragraph">
                <wp:posOffset>0</wp:posOffset>
              </wp:positionV>
              <wp:extent cx="1828800" cy="1828800"/>
              <wp:effectExtent l="0" t="0" r="0" b="0"/>
              <wp:wrapNone/>
              <wp:docPr id="1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11"/>
                          </w:pPr>
                          <w:r>
                            <w:fldChar w:fldCharType="begin"/>
                          </w:r>
                          <w:r>
                            <w:instrText xml:space="preserve"> PAGE  \* MERGEFORMAT </w:instrText>
                          </w:r>
                          <w:r>
                            <w:fldChar w:fldCharType="separate"/>
                          </w:r>
                          <w:r>
                            <w:t>36</w:t>
                          </w:r>
                          <w: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44pt;width:144pt;mso-position-horizontal:right;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LNJWO7QAAAABQEAAA8AAAAAAAAAAQAgAAAAIgAAAGRycy9k&#10;b3ducmV2LnhtbFBLAQIUABQAAAAIAIdO4kDI6eZ10QEAAKMDAAAOAAAAAAAAAAEAIAAAAB8BAABk&#10;cnMvZTJvRG9jLnhtbFBLBQYAAAAABgAGAFkBAABiBQ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36</w:t>
                    </w:r>
                    <w:r>
                      <w:fldChar w:fldCharType="end"/>
                    </w:r>
                  </w:p>
                </w:txbxContent>
              </v:textbox>
            </v:shape>
          </w:pict>
        </mc:Fallback>
      </mc:AlternateContent>
    </w:r>
    <w:r>
      <w:rPr>
        <w:rFonts w:hint="eastAsia"/>
        <w:szCs w:val="18"/>
      </w:rPr>
      <w:t>江苏索普工程科技有限公司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mc:AlternateContent>
        <mc:Choice Requires="wps">
          <w:drawing>
            <wp:anchor distT="0" distB="0" distL="114300" distR="114300" simplePos="0" relativeHeight="251669504" behindDoc="0" locked="0" layoutInCell="1" allowOverlap="1">
              <wp:simplePos x="0" y="0"/>
              <wp:positionH relativeFrom="margin">
                <wp:align>right</wp:align>
              </wp:positionH>
              <wp:positionV relativeFrom="paragraph">
                <wp:posOffset>0</wp:posOffset>
              </wp:positionV>
              <wp:extent cx="1828800" cy="1828800"/>
              <wp:effectExtent l="0" t="0" r="0" b="0"/>
              <wp:wrapNone/>
              <wp:docPr id="14"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11"/>
                          </w:pPr>
                          <w:r>
                            <w:fldChar w:fldCharType="begin"/>
                          </w:r>
                          <w:r>
                            <w:instrText xml:space="preserve"> PAGE  \* MERGEFORMAT </w:instrText>
                          </w:r>
                          <w:r>
                            <w:fldChar w:fldCharType="separate"/>
                          </w:r>
                          <w:r>
                            <w:t>61</w:t>
                          </w:r>
                          <w:r>
                            <w:fldChar w:fldCharType="end"/>
                          </w:r>
                        </w:p>
                      </w:txbxContent>
                    </wps:txbx>
                    <wps:bodyPr wrap="none" lIns="0" tIns="0" rIns="0" bIns="0" upright="1">
                      <a:spAutoFit/>
                    </wps:bodyPr>
                  </wps:wsp>
                </a:graphicData>
              </a:graphic>
            </wp:anchor>
          </w:drawing>
        </mc:Choice>
        <mc:Fallback>
          <w:pict>
            <v:shape id="文本框 2" o:spid="_x0000_s1026" o:spt="202" type="#_x0000_t202" style="position:absolute;left:0pt;margin-top:0pt;height:144pt;width:144pt;mso-position-horizontal:right;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LNJWO7QAAAABQEAAA8AAAAAAAAAAQAgAAAAIgAAAGRycy9k&#10;b3ducmV2LnhtbFBLAQIUABQAAAAIAIdO4kC6TiHs0QEAAKMDAAAOAAAAAAAAAAEAIAAAAB8BAABk&#10;cnMvZTJvRG9jLnhtbFBLBQYAAAAABgAGAFkBAABiBQ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61</w:t>
                    </w:r>
                    <w:r>
                      <w:fldChar w:fldCharType="end"/>
                    </w:r>
                  </w:p>
                </w:txbxContent>
              </v:textbox>
            </v:shape>
          </w:pict>
        </mc:Fallback>
      </mc:AlternateContent>
    </w:r>
    <w:r>
      <w:rPr>
        <w:rFonts w:hint="eastAsia"/>
      </w:rPr>
      <w:t>江苏索普工程科技有限公司</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mc:AlternateContent>
        <mc:Choice Requires="wps">
          <w:drawing>
            <wp:anchor distT="0" distB="0" distL="114300" distR="114300" simplePos="0" relativeHeight="251671552" behindDoc="0" locked="0" layoutInCell="1" allowOverlap="1">
              <wp:simplePos x="0" y="0"/>
              <wp:positionH relativeFrom="margin">
                <wp:align>right</wp:align>
              </wp:positionH>
              <wp:positionV relativeFrom="paragraph">
                <wp:posOffset>0</wp:posOffset>
              </wp:positionV>
              <wp:extent cx="1828800" cy="1828800"/>
              <wp:effectExtent l="0" t="0" r="0" b="0"/>
              <wp:wrapNone/>
              <wp:docPr id="15"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11"/>
                          </w:pPr>
                          <w:r>
                            <w:fldChar w:fldCharType="begin"/>
                          </w:r>
                          <w:r>
                            <w:instrText xml:space="preserve"> PAGE  \* MERGEFORMAT </w:instrText>
                          </w:r>
                          <w:r>
                            <w:fldChar w:fldCharType="separate"/>
                          </w:r>
                          <w:r>
                            <w:t>90</w:t>
                          </w:r>
                          <w:r>
                            <w:fldChar w:fldCharType="end"/>
                          </w:r>
                        </w:p>
                      </w:txbxContent>
                    </wps:txbx>
                    <wps:bodyPr wrap="none" lIns="0" tIns="0" rIns="0" bIns="0" upright="1">
                      <a:spAutoFit/>
                    </wps:bodyPr>
                  </wps:wsp>
                </a:graphicData>
              </a:graphic>
            </wp:anchor>
          </w:drawing>
        </mc:Choice>
        <mc:Fallback>
          <w:pict>
            <v:shape id="文本框 3" o:spid="_x0000_s1026" o:spt="202" type="#_x0000_t202" style="position:absolute;left:0pt;margin-top:0pt;height:144pt;width:144pt;mso-position-horizontal:right;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CzSVju0AAAAAUBAAAPAAAAAAAAAAEAIAAAACIAAABkcnMv&#10;ZG93bnJldi54bWxQSwECFAAUAAAACACHTuJAJ2L+kNIBAACjAwAADgAAAAAAAAABACAAAAAfAQAA&#10;ZHJzL2Uyb0RvYy54bWxQSwUGAAAAAAYABgBZAQAAYwU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90</w:t>
                    </w:r>
                    <w:r>
                      <w:fldChar w:fldCharType="end"/>
                    </w:r>
                  </w:p>
                </w:txbxContent>
              </v:textbox>
            </v:shape>
          </w:pict>
        </mc:Fallback>
      </mc:AlternateContent>
    </w:r>
    <w:r>
      <w:rPr>
        <w:rFonts w:hint="eastAsia"/>
      </w:rPr>
      <w:t>江苏索普工程科技有限公司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top w:val="none" w:color="auto" w:sz="0" w:space="0"/>
        <w:left w:val="none" w:color="auto" w:sz="0" w:space="0"/>
        <w:bottom w:val="none" w:color="auto" w:sz="0" w:space="0"/>
        <w:right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tabs>
        <w:tab w:val="right" w:leader="dot" w:pos="8674"/>
      </w:tabs>
      <w:jc w:val="center"/>
      <w:outlineLvl w:val="0"/>
      <w:rPr>
        <w:rFonts w:ascii="宋体" w:cs="宋体"/>
        <w:spacing w:val="-6"/>
        <w:sz w:val="18"/>
        <w:szCs w:val="18"/>
      </w:rPr>
    </w:pPr>
    <w:r>
      <w:rPr>
        <w:rFonts w:hint="eastAsia" w:ascii="宋体" w:hAnsi="宋体" w:cs="宋体"/>
        <w:spacing w:val="-6"/>
        <w:sz w:val="18"/>
        <w:szCs w:val="18"/>
      </w:rPr>
      <w:t>江苏索普新材料科技有限公司</w:t>
    </w:r>
  </w:p>
  <w:p>
    <w:pPr>
      <w:pStyle w:val="12"/>
      <w:pBdr>
        <w:top w:val="none" w:color="auto" w:sz="0" w:space="0"/>
        <w:left w:val="none" w:color="auto" w:sz="0" w:space="0"/>
        <w:bottom w:val="none" w:color="auto" w:sz="0" w:space="0"/>
        <w:right w:val="none" w:color="auto" w:sz="0" w:space="0"/>
      </w:pBdr>
      <w:jc w:val="center"/>
      <w:outlineLvl w:val="0"/>
      <w:rPr>
        <w:rFonts w:ascii="宋体" w:cs="宋体"/>
        <w:spacing w:val="-6"/>
        <w:szCs w:val="18"/>
      </w:rPr>
    </w:pPr>
    <w:r>
      <w:rPr>
        <w:rFonts w:ascii="宋体" w:hAnsi="宋体" w:cs="宋体"/>
        <w:spacing w:val="-6"/>
        <w:szCs w:val="18"/>
      </w:rPr>
      <w:t>8</w:t>
    </w:r>
    <w:r>
      <w:rPr>
        <w:rFonts w:hint="eastAsia" w:ascii="宋体" w:hAnsi="宋体" w:cs="宋体"/>
        <w:spacing w:val="-6"/>
        <w:szCs w:val="18"/>
      </w:rPr>
      <w:t>万吨</w:t>
    </w:r>
    <w:r>
      <w:rPr>
        <w:rFonts w:ascii="宋体" w:hAnsi="宋体" w:cs="宋体"/>
        <w:spacing w:val="-6"/>
        <w:szCs w:val="18"/>
      </w:rPr>
      <w:t>/</w:t>
    </w:r>
    <w:r>
      <w:rPr>
        <w:rFonts w:hint="eastAsia" w:ascii="宋体" w:hAnsi="宋体" w:cs="宋体"/>
        <w:spacing w:val="-6"/>
        <w:szCs w:val="18"/>
      </w:rPr>
      <w:t>年次氯酸钠项目可行性研究报告</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tabs>
        <w:tab w:val="right" w:leader="dot" w:pos="8674"/>
      </w:tabs>
      <w:jc w:val="center"/>
      <w:outlineLvl w:val="0"/>
      <w:rPr>
        <w:rFonts w:ascii="宋体" w:cs="宋体"/>
        <w:spacing w:val="-6"/>
        <w:sz w:val="18"/>
        <w:szCs w:val="18"/>
      </w:rPr>
    </w:pPr>
    <w:r>
      <w:rPr>
        <w:rFonts w:hint="eastAsia" w:ascii="宋体" w:hAnsi="宋体" w:cs="宋体"/>
        <w:spacing w:val="-6"/>
        <w:sz w:val="18"/>
        <w:szCs w:val="18"/>
      </w:rPr>
      <w:t>江苏索普新材料科技有限公司</w:t>
    </w:r>
  </w:p>
  <w:p>
    <w:pPr>
      <w:pStyle w:val="12"/>
      <w:pBdr>
        <w:top w:val="none" w:color="auto" w:sz="0" w:space="0"/>
        <w:left w:val="none" w:color="auto" w:sz="0" w:space="0"/>
        <w:bottom w:val="none" w:color="auto" w:sz="0" w:space="0"/>
        <w:right w:val="none" w:color="auto" w:sz="0" w:space="0"/>
      </w:pBdr>
      <w:jc w:val="center"/>
      <w:outlineLvl w:val="0"/>
      <w:rPr>
        <w:rFonts w:ascii="宋体" w:cs="宋体"/>
        <w:spacing w:val="-6"/>
        <w:szCs w:val="18"/>
      </w:rPr>
    </w:pPr>
    <w:r>
      <w:rPr>
        <w:rFonts w:ascii="宋体" w:hAnsi="宋体" w:cs="宋体"/>
        <w:spacing w:val="-6"/>
        <w:szCs w:val="18"/>
      </w:rPr>
      <w:t>8</w:t>
    </w:r>
    <w:r>
      <w:rPr>
        <w:rFonts w:hint="eastAsia" w:ascii="宋体" w:hAnsi="宋体" w:cs="宋体"/>
        <w:spacing w:val="-6"/>
        <w:szCs w:val="18"/>
      </w:rPr>
      <w:t>万吨</w:t>
    </w:r>
    <w:r>
      <w:rPr>
        <w:rFonts w:ascii="宋体" w:hAnsi="宋体" w:cs="宋体"/>
        <w:spacing w:val="-6"/>
        <w:szCs w:val="18"/>
      </w:rPr>
      <w:t>/</w:t>
    </w:r>
    <w:r>
      <w:rPr>
        <w:rFonts w:hint="eastAsia" w:ascii="宋体" w:hAnsi="宋体" w:cs="宋体"/>
        <w:spacing w:val="-6"/>
        <w:szCs w:val="18"/>
      </w:rPr>
      <w:t>年次氯酸钠项目可行性研究报告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040C7C3"/>
    <w:multiLevelType w:val="multilevel"/>
    <w:tmpl w:val="E040C7C3"/>
    <w:lvl w:ilvl="0" w:tentative="0">
      <w:start w:val="1"/>
      <w:numFmt w:val="lowerLetter"/>
      <w:lvlText w:val="%1."/>
      <w:lvlJc w:val="left"/>
      <w:pPr>
        <w:ind w:left="425" w:hanging="425"/>
      </w:pPr>
      <w:rPr>
        <w:rFonts w:hint="default" w:cs="Times New Roman"/>
      </w:rPr>
    </w:lvl>
    <w:lvl w:ilvl="1" w:tentative="0">
      <w:start w:val="1"/>
      <w:numFmt w:val="lowerLetter"/>
      <w:lvlText w:val="%2)"/>
      <w:lvlJc w:val="left"/>
      <w:pPr>
        <w:tabs>
          <w:tab w:val="left" w:pos="840"/>
        </w:tabs>
        <w:ind w:left="840" w:hanging="420"/>
      </w:pPr>
      <w:rPr>
        <w:rFonts w:hint="default" w:cs="Times New Roman"/>
      </w:rPr>
    </w:lvl>
    <w:lvl w:ilvl="2" w:tentative="0">
      <w:start w:val="1"/>
      <w:numFmt w:val="lowerRoman"/>
      <w:lvlText w:val="%3."/>
      <w:lvlJc w:val="left"/>
      <w:pPr>
        <w:tabs>
          <w:tab w:val="left" w:pos="1260"/>
        </w:tabs>
        <w:ind w:left="1260" w:hanging="420"/>
      </w:pPr>
      <w:rPr>
        <w:rFonts w:hint="default" w:cs="Times New Roman"/>
      </w:rPr>
    </w:lvl>
    <w:lvl w:ilvl="3" w:tentative="0">
      <w:start w:val="1"/>
      <w:numFmt w:val="decimal"/>
      <w:lvlText w:val="%4."/>
      <w:lvlJc w:val="left"/>
      <w:pPr>
        <w:tabs>
          <w:tab w:val="left" w:pos="1680"/>
        </w:tabs>
        <w:ind w:left="1680" w:hanging="420"/>
      </w:pPr>
      <w:rPr>
        <w:rFonts w:hint="default" w:cs="Times New Roman"/>
      </w:rPr>
    </w:lvl>
    <w:lvl w:ilvl="4" w:tentative="0">
      <w:start w:val="1"/>
      <w:numFmt w:val="lowerLetter"/>
      <w:lvlText w:val="%5)"/>
      <w:lvlJc w:val="left"/>
      <w:pPr>
        <w:tabs>
          <w:tab w:val="left" w:pos="2100"/>
        </w:tabs>
        <w:ind w:left="2100" w:hanging="420"/>
      </w:pPr>
      <w:rPr>
        <w:rFonts w:hint="default" w:cs="Times New Roman"/>
      </w:rPr>
    </w:lvl>
    <w:lvl w:ilvl="5" w:tentative="0">
      <w:start w:val="1"/>
      <w:numFmt w:val="lowerRoman"/>
      <w:lvlText w:val="%6."/>
      <w:lvlJc w:val="left"/>
      <w:pPr>
        <w:tabs>
          <w:tab w:val="left" w:pos="2520"/>
        </w:tabs>
        <w:ind w:left="2520" w:hanging="420"/>
      </w:pPr>
      <w:rPr>
        <w:rFonts w:hint="default" w:cs="Times New Roman"/>
      </w:rPr>
    </w:lvl>
    <w:lvl w:ilvl="6" w:tentative="0">
      <w:start w:val="1"/>
      <w:numFmt w:val="decimal"/>
      <w:lvlText w:val="%7."/>
      <w:lvlJc w:val="left"/>
      <w:pPr>
        <w:tabs>
          <w:tab w:val="left" w:pos="2940"/>
        </w:tabs>
        <w:ind w:left="2940" w:hanging="420"/>
      </w:pPr>
      <w:rPr>
        <w:rFonts w:hint="default" w:cs="Times New Roman"/>
      </w:rPr>
    </w:lvl>
    <w:lvl w:ilvl="7" w:tentative="0">
      <w:start w:val="1"/>
      <w:numFmt w:val="lowerLetter"/>
      <w:lvlText w:val="%8)"/>
      <w:lvlJc w:val="left"/>
      <w:pPr>
        <w:tabs>
          <w:tab w:val="left" w:pos="3360"/>
        </w:tabs>
        <w:ind w:left="3360" w:hanging="420"/>
      </w:pPr>
      <w:rPr>
        <w:rFonts w:hint="default" w:cs="Times New Roman"/>
      </w:rPr>
    </w:lvl>
    <w:lvl w:ilvl="8" w:tentative="0">
      <w:start w:val="1"/>
      <w:numFmt w:val="lowerRoman"/>
      <w:lvlText w:val="%9."/>
      <w:lvlJc w:val="left"/>
      <w:pPr>
        <w:tabs>
          <w:tab w:val="left" w:pos="3780"/>
        </w:tabs>
        <w:ind w:left="3780" w:hanging="420"/>
      </w:pPr>
      <w:rPr>
        <w:rFonts w:hint="default" w:cs="Times New Roman"/>
      </w:rPr>
    </w:lvl>
  </w:abstractNum>
  <w:abstractNum w:abstractNumId="1">
    <w:nsid w:val="EF2043E8"/>
    <w:multiLevelType w:val="singleLevel"/>
    <w:tmpl w:val="EF2043E8"/>
    <w:lvl w:ilvl="0" w:tentative="0">
      <w:start w:val="1"/>
      <w:numFmt w:val="lowerLetter"/>
      <w:suff w:val="nothing"/>
      <w:lvlText w:val="%1　"/>
      <w:lvlJc w:val="left"/>
      <w:pPr>
        <w:ind w:firstLine="403"/>
      </w:pPr>
      <w:rPr>
        <w:rFonts w:hint="default" w:cs="Times New Roman"/>
      </w:rPr>
    </w:lvl>
  </w:abstractNum>
  <w:abstractNum w:abstractNumId="2">
    <w:nsid w:val="00000004"/>
    <w:multiLevelType w:val="multilevel"/>
    <w:tmpl w:val="00000004"/>
    <w:lvl w:ilvl="0" w:tentative="0">
      <w:start w:val="1"/>
      <w:numFmt w:val="decimal"/>
      <w:lvlText w:val="%1"/>
      <w:lvlJc w:val="left"/>
      <w:pPr>
        <w:tabs>
          <w:tab w:val="left" w:pos="0"/>
        </w:tabs>
      </w:pPr>
      <w:rPr>
        <w:rFonts w:hint="eastAsia" w:ascii="黑体" w:hAnsi="黑体" w:eastAsia="黑体" w:cs="Times New Roman"/>
        <w:sz w:val="32"/>
        <w:szCs w:val="32"/>
      </w:rPr>
    </w:lvl>
    <w:lvl w:ilvl="1" w:tentative="0">
      <w:start w:val="1"/>
      <w:numFmt w:val="decimal"/>
      <w:lvlText w:val="%1.%2"/>
      <w:lvlJc w:val="left"/>
      <w:pPr>
        <w:tabs>
          <w:tab w:val="left" w:pos="0"/>
        </w:tabs>
        <w:ind w:firstLine="425"/>
      </w:pPr>
      <w:rPr>
        <w:rFonts w:hint="eastAsia" w:ascii="微软雅黑" w:hAnsi="微软雅黑" w:eastAsia="微软雅黑" w:cs="Times New Roman"/>
      </w:rPr>
    </w:lvl>
    <w:lvl w:ilvl="2" w:tentative="0">
      <w:start w:val="1"/>
      <w:numFmt w:val="decimal"/>
      <w:lvlText w:val="%1.%2.%3"/>
      <w:lvlJc w:val="left"/>
      <w:pPr>
        <w:tabs>
          <w:tab w:val="left" w:pos="0"/>
        </w:tabs>
        <w:ind w:firstLine="425"/>
      </w:pPr>
      <w:rPr>
        <w:rFonts w:hint="eastAsia" w:ascii="微软雅黑" w:hAnsi="微软雅黑" w:eastAsia="微软雅黑" w:cs="Times New Roman"/>
      </w:rPr>
    </w:lvl>
    <w:lvl w:ilvl="3" w:tentative="0">
      <w:start w:val="1"/>
      <w:numFmt w:val="decimal"/>
      <w:lvlText w:val="%1.%2.%3.%4"/>
      <w:lvlJc w:val="left"/>
      <w:pPr>
        <w:tabs>
          <w:tab w:val="left" w:pos="0"/>
        </w:tabs>
        <w:ind w:firstLine="425"/>
      </w:pPr>
      <w:rPr>
        <w:rFonts w:hint="eastAsia" w:ascii="微软雅黑" w:hAnsi="微软雅黑" w:eastAsia="微软雅黑" w:cs="Times New Roman"/>
        <w:sz w:val="24"/>
      </w:rPr>
    </w:lvl>
    <w:lvl w:ilvl="4" w:tentative="0">
      <w:start w:val="1"/>
      <w:numFmt w:val="decimal"/>
      <w:lvlText w:val="%1.%2.%3.%4.%5"/>
      <w:lvlJc w:val="left"/>
      <w:pPr>
        <w:tabs>
          <w:tab w:val="left" w:pos="0"/>
        </w:tabs>
        <w:ind w:left="2551" w:hanging="850"/>
      </w:pPr>
      <w:rPr>
        <w:rFonts w:hint="eastAsia" w:cs="Times New Roman"/>
      </w:rPr>
    </w:lvl>
    <w:lvl w:ilvl="5" w:tentative="0">
      <w:start w:val="1"/>
      <w:numFmt w:val="decimal"/>
      <w:lvlText w:val="%1.%2.%3.%4.%5.%6"/>
      <w:lvlJc w:val="left"/>
      <w:pPr>
        <w:tabs>
          <w:tab w:val="left" w:pos="0"/>
        </w:tabs>
        <w:ind w:left="3260" w:hanging="1134"/>
      </w:pPr>
      <w:rPr>
        <w:rFonts w:hint="eastAsia" w:cs="Times New Roman"/>
      </w:rPr>
    </w:lvl>
    <w:lvl w:ilvl="6" w:tentative="0">
      <w:start w:val="1"/>
      <w:numFmt w:val="decimal"/>
      <w:lvlText w:val="%1.%2.%3.%4.%5.%6.%7"/>
      <w:lvlJc w:val="left"/>
      <w:pPr>
        <w:tabs>
          <w:tab w:val="left" w:pos="0"/>
        </w:tabs>
        <w:ind w:left="3827" w:hanging="1276"/>
      </w:pPr>
      <w:rPr>
        <w:rFonts w:hint="eastAsia" w:cs="Times New Roman"/>
      </w:rPr>
    </w:lvl>
    <w:lvl w:ilvl="7" w:tentative="0">
      <w:start w:val="1"/>
      <w:numFmt w:val="decimal"/>
      <w:lvlText w:val="%1.%2.%3.%4.%5.%6.%7.%8"/>
      <w:lvlJc w:val="left"/>
      <w:pPr>
        <w:tabs>
          <w:tab w:val="left" w:pos="0"/>
        </w:tabs>
        <w:ind w:left="4394" w:hanging="1418"/>
      </w:pPr>
      <w:rPr>
        <w:rFonts w:hint="eastAsia" w:cs="Times New Roman"/>
      </w:rPr>
    </w:lvl>
    <w:lvl w:ilvl="8" w:tentative="0">
      <w:start w:val="1"/>
      <w:numFmt w:val="decimal"/>
      <w:lvlText w:val="%1.%2.%3.%4.%5.%6.%7.%8.%9"/>
      <w:lvlJc w:val="left"/>
      <w:pPr>
        <w:tabs>
          <w:tab w:val="left" w:pos="0"/>
        </w:tabs>
        <w:ind w:left="5102" w:hanging="1700"/>
      </w:pPr>
      <w:rPr>
        <w:rFonts w:hint="eastAsia" w:cs="Times New Roman"/>
      </w:rPr>
    </w:lvl>
  </w:abstractNum>
  <w:abstractNum w:abstractNumId="3">
    <w:nsid w:val="00000007"/>
    <w:multiLevelType w:val="singleLevel"/>
    <w:tmpl w:val="00000007"/>
    <w:lvl w:ilvl="0" w:tentative="0">
      <w:start w:val="1"/>
      <w:numFmt w:val="decimal"/>
      <w:suff w:val="nothing"/>
      <w:lvlText w:val="%1、"/>
      <w:lvlJc w:val="left"/>
      <w:rPr>
        <w:rFonts w:cs="Times New Roman"/>
      </w:rPr>
    </w:lvl>
  </w:abstractNum>
  <w:abstractNum w:abstractNumId="4">
    <w:nsid w:val="0943FB71"/>
    <w:multiLevelType w:val="singleLevel"/>
    <w:tmpl w:val="0943FB71"/>
    <w:lvl w:ilvl="0" w:tentative="0">
      <w:start w:val="1"/>
      <w:numFmt w:val="decimal"/>
      <w:suff w:val="nothing"/>
      <w:lvlText w:val="%1．"/>
      <w:lvlJc w:val="left"/>
      <w:pPr>
        <w:ind w:firstLine="400"/>
      </w:pPr>
      <w:rPr>
        <w:rFonts w:hint="default" w:cs="Times New Roman"/>
      </w:rPr>
    </w:lvl>
  </w:abstractNum>
  <w:abstractNum w:abstractNumId="5">
    <w:nsid w:val="112B54F9"/>
    <w:multiLevelType w:val="multilevel"/>
    <w:tmpl w:val="112B54F9"/>
    <w:lvl w:ilvl="0" w:tentative="0">
      <w:start w:val="1"/>
      <w:numFmt w:val="decimal"/>
      <w:lvlText w:val="%1"/>
      <w:lvlJc w:val="left"/>
      <w:pPr>
        <w:tabs>
          <w:tab w:val="left" w:pos="0"/>
        </w:tabs>
      </w:pPr>
      <w:rPr>
        <w:rFonts w:hint="eastAsia" w:ascii="黑体" w:hAnsi="黑体" w:eastAsia="黑体" w:cs="Times New Roman"/>
        <w:sz w:val="32"/>
        <w:szCs w:val="32"/>
      </w:rPr>
    </w:lvl>
    <w:lvl w:ilvl="1" w:tentative="0">
      <w:start w:val="1"/>
      <w:numFmt w:val="decimal"/>
      <w:lvlText w:val="%1.%2"/>
      <w:lvlJc w:val="left"/>
      <w:pPr>
        <w:tabs>
          <w:tab w:val="left" w:pos="0"/>
        </w:tabs>
        <w:ind w:firstLine="425"/>
      </w:pPr>
      <w:rPr>
        <w:rFonts w:hint="eastAsia" w:ascii="微软雅黑" w:hAnsi="微软雅黑" w:eastAsia="微软雅黑" w:cs="Times New Roman"/>
      </w:rPr>
    </w:lvl>
    <w:lvl w:ilvl="2" w:tentative="0">
      <w:start w:val="1"/>
      <w:numFmt w:val="decimal"/>
      <w:lvlText w:val="%1.%2.%3"/>
      <w:lvlJc w:val="left"/>
      <w:pPr>
        <w:tabs>
          <w:tab w:val="left" w:pos="0"/>
        </w:tabs>
        <w:ind w:firstLine="425"/>
      </w:pPr>
      <w:rPr>
        <w:rFonts w:hint="eastAsia" w:ascii="微软雅黑" w:hAnsi="微软雅黑" w:eastAsia="微软雅黑" w:cs="Times New Roman"/>
      </w:rPr>
    </w:lvl>
    <w:lvl w:ilvl="3" w:tentative="0">
      <w:start w:val="1"/>
      <w:numFmt w:val="decimal"/>
      <w:lvlText w:val="%1.%2.%3.%4"/>
      <w:lvlJc w:val="left"/>
      <w:pPr>
        <w:tabs>
          <w:tab w:val="left" w:pos="0"/>
        </w:tabs>
        <w:ind w:firstLine="425"/>
      </w:pPr>
      <w:rPr>
        <w:rFonts w:hint="eastAsia" w:ascii="微软雅黑" w:hAnsi="微软雅黑" w:eastAsia="微软雅黑" w:cs="Times New Roman"/>
        <w:sz w:val="24"/>
      </w:rPr>
    </w:lvl>
    <w:lvl w:ilvl="4" w:tentative="0">
      <w:start w:val="1"/>
      <w:numFmt w:val="decimal"/>
      <w:lvlText w:val="%1.%2.%3.%4.%5"/>
      <w:lvlJc w:val="left"/>
      <w:pPr>
        <w:tabs>
          <w:tab w:val="left" w:pos="0"/>
        </w:tabs>
        <w:ind w:left="2551" w:hanging="850"/>
      </w:pPr>
      <w:rPr>
        <w:rFonts w:hint="eastAsia" w:cs="Times New Roman"/>
      </w:rPr>
    </w:lvl>
    <w:lvl w:ilvl="5" w:tentative="0">
      <w:start w:val="1"/>
      <w:numFmt w:val="decimal"/>
      <w:lvlText w:val="%1.%2.%3.%4.%5.%6"/>
      <w:lvlJc w:val="left"/>
      <w:pPr>
        <w:tabs>
          <w:tab w:val="left" w:pos="0"/>
        </w:tabs>
        <w:ind w:left="3260" w:hanging="1134"/>
      </w:pPr>
      <w:rPr>
        <w:rFonts w:hint="eastAsia" w:cs="Times New Roman"/>
      </w:rPr>
    </w:lvl>
    <w:lvl w:ilvl="6" w:tentative="0">
      <w:start w:val="1"/>
      <w:numFmt w:val="decimal"/>
      <w:lvlText w:val="%1.%2.%3.%4.%5.%6.%7"/>
      <w:lvlJc w:val="left"/>
      <w:pPr>
        <w:tabs>
          <w:tab w:val="left" w:pos="0"/>
        </w:tabs>
        <w:ind w:left="3827" w:hanging="1276"/>
      </w:pPr>
      <w:rPr>
        <w:rFonts w:hint="eastAsia" w:cs="Times New Roman"/>
      </w:rPr>
    </w:lvl>
    <w:lvl w:ilvl="7" w:tentative="0">
      <w:start w:val="1"/>
      <w:numFmt w:val="decimal"/>
      <w:lvlText w:val="%1.%2.%3.%4.%5.%6.%7.%8"/>
      <w:lvlJc w:val="left"/>
      <w:pPr>
        <w:tabs>
          <w:tab w:val="left" w:pos="0"/>
        </w:tabs>
        <w:ind w:left="4394" w:hanging="1418"/>
      </w:pPr>
      <w:rPr>
        <w:rFonts w:hint="eastAsia" w:cs="Times New Roman"/>
      </w:rPr>
    </w:lvl>
    <w:lvl w:ilvl="8" w:tentative="0">
      <w:start w:val="1"/>
      <w:numFmt w:val="decimal"/>
      <w:lvlText w:val="%1.%2.%3.%4.%5.%6.%7.%8.%9"/>
      <w:lvlJc w:val="left"/>
      <w:pPr>
        <w:tabs>
          <w:tab w:val="left" w:pos="0"/>
        </w:tabs>
        <w:ind w:left="5102" w:hanging="1700"/>
      </w:pPr>
      <w:rPr>
        <w:rFonts w:hint="eastAsia" w:cs="Times New Roman"/>
      </w:rPr>
    </w:lvl>
  </w:abstractNum>
  <w:abstractNum w:abstractNumId="6">
    <w:nsid w:val="18A63849"/>
    <w:multiLevelType w:val="singleLevel"/>
    <w:tmpl w:val="18A63849"/>
    <w:lvl w:ilvl="0" w:tentative="0">
      <w:start w:val="1"/>
      <w:numFmt w:val="decimal"/>
      <w:lvlText w:val="(%1)"/>
      <w:lvlJc w:val="left"/>
      <w:pPr>
        <w:tabs>
          <w:tab w:val="left" w:pos="312"/>
        </w:tabs>
      </w:pPr>
      <w:rPr>
        <w:rFonts w:cs="Times New Roman"/>
      </w:rPr>
    </w:lvl>
  </w:abstractNum>
  <w:abstractNum w:abstractNumId="7">
    <w:nsid w:val="57337D73"/>
    <w:multiLevelType w:val="singleLevel"/>
    <w:tmpl w:val="57337D73"/>
    <w:lvl w:ilvl="0" w:tentative="0">
      <w:start w:val="1"/>
      <w:numFmt w:val="decimal"/>
      <w:lvlText w:val="(%1)"/>
      <w:lvlJc w:val="left"/>
      <w:pPr>
        <w:ind w:left="425" w:hanging="425"/>
      </w:pPr>
      <w:rPr>
        <w:rFonts w:hint="default" w:cs="Times New Roman"/>
      </w:rPr>
    </w:lvl>
  </w:abstractNum>
  <w:num w:numId="1">
    <w:abstractNumId w:val="6"/>
  </w:num>
  <w:num w:numId="2">
    <w:abstractNumId w:val="2"/>
  </w:num>
  <w:num w:numId="3">
    <w:abstractNumId w:val="7"/>
  </w:num>
  <w:num w:numId="4">
    <w:abstractNumId w:val="5"/>
  </w:num>
  <w:num w:numId="5">
    <w:abstractNumId w:val="0"/>
  </w:num>
  <w:num w:numId="6">
    <w:abstractNumId w:val="1"/>
  </w:num>
  <w:num w:numId="7">
    <w:abstractNumId w:val="4"/>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M3OTAwOWI4ZDEyYTBmZjRlOWM3MDIzZWQ0ODY3YmUifQ=="/>
  </w:docVars>
  <w:rsids>
    <w:rsidRoot w:val="00F653A3"/>
    <w:rsid w:val="00334361"/>
    <w:rsid w:val="00443541"/>
    <w:rsid w:val="004952FD"/>
    <w:rsid w:val="00515C5E"/>
    <w:rsid w:val="00610597"/>
    <w:rsid w:val="006360BD"/>
    <w:rsid w:val="006B6D1F"/>
    <w:rsid w:val="007609F7"/>
    <w:rsid w:val="007C0F2D"/>
    <w:rsid w:val="00804B0E"/>
    <w:rsid w:val="00893649"/>
    <w:rsid w:val="009D0170"/>
    <w:rsid w:val="00A40C82"/>
    <w:rsid w:val="00D20B4D"/>
    <w:rsid w:val="00EB3274"/>
    <w:rsid w:val="00F653A3"/>
    <w:rsid w:val="01017684"/>
    <w:rsid w:val="011B0745"/>
    <w:rsid w:val="011D16AA"/>
    <w:rsid w:val="01213882"/>
    <w:rsid w:val="013C690E"/>
    <w:rsid w:val="013E2686"/>
    <w:rsid w:val="013E6802"/>
    <w:rsid w:val="02874C25"/>
    <w:rsid w:val="029F7154"/>
    <w:rsid w:val="03265180"/>
    <w:rsid w:val="03675440"/>
    <w:rsid w:val="03676DD4"/>
    <w:rsid w:val="03936CB9"/>
    <w:rsid w:val="0397724C"/>
    <w:rsid w:val="03A72764"/>
    <w:rsid w:val="03CA1FAF"/>
    <w:rsid w:val="04117BDE"/>
    <w:rsid w:val="04DF5F2E"/>
    <w:rsid w:val="05687CD1"/>
    <w:rsid w:val="05A36F5B"/>
    <w:rsid w:val="060914B4"/>
    <w:rsid w:val="06935222"/>
    <w:rsid w:val="06E94E42"/>
    <w:rsid w:val="06FD057D"/>
    <w:rsid w:val="074A53D1"/>
    <w:rsid w:val="078D6E5A"/>
    <w:rsid w:val="07B92A66"/>
    <w:rsid w:val="082425D6"/>
    <w:rsid w:val="08406CE4"/>
    <w:rsid w:val="08892439"/>
    <w:rsid w:val="08964B56"/>
    <w:rsid w:val="08C416C3"/>
    <w:rsid w:val="0926412B"/>
    <w:rsid w:val="095E1B17"/>
    <w:rsid w:val="098506F8"/>
    <w:rsid w:val="09C35E1E"/>
    <w:rsid w:val="09E244F6"/>
    <w:rsid w:val="09F93527"/>
    <w:rsid w:val="0A1E12A6"/>
    <w:rsid w:val="0A60541B"/>
    <w:rsid w:val="0A9C5F85"/>
    <w:rsid w:val="0ACE07BC"/>
    <w:rsid w:val="0AE0655C"/>
    <w:rsid w:val="0AE55243"/>
    <w:rsid w:val="0B0E4E77"/>
    <w:rsid w:val="0B183F48"/>
    <w:rsid w:val="0B2D79F3"/>
    <w:rsid w:val="0C6C00A7"/>
    <w:rsid w:val="0C994C14"/>
    <w:rsid w:val="0CA23AC9"/>
    <w:rsid w:val="0CA830A9"/>
    <w:rsid w:val="0CEA36C2"/>
    <w:rsid w:val="0D1F336B"/>
    <w:rsid w:val="0D26294C"/>
    <w:rsid w:val="0D2C3CDA"/>
    <w:rsid w:val="0DBA0F86"/>
    <w:rsid w:val="0E0662D9"/>
    <w:rsid w:val="0E39220B"/>
    <w:rsid w:val="0EAD2BF9"/>
    <w:rsid w:val="0EEE6626"/>
    <w:rsid w:val="0F032819"/>
    <w:rsid w:val="0F112899"/>
    <w:rsid w:val="0F191715"/>
    <w:rsid w:val="0F20786F"/>
    <w:rsid w:val="0F470958"/>
    <w:rsid w:val="0F5D461F"/>
    <w:rsid w:val="0FBF0E36"/>
    <w:rsid w:val="0FC46D87"/>
    <w:rsid w:val="0FF00FEF"/>
    <w:rsid w:val="1102722C"/>
    <w:rsid w:val="116003F7"/>
    <w:rsid w:val="118B5473"/>
    <w:rsid w:val="12541D09"/>
    <w:rsid w:val="129B46C6"/>
    <w:rsid w:val="12A04F4F"/>
    <w:rsid w:val="135F07FD"/>
    <w:rsid w:val="13F84CAF"/>
    <w:rsid w:val="141E6719"/>
    <w:rsid w:val="14861F22"/>
    <w:rsid w:val="148937C0"/>
    <w:rsid w:val="14C43CD8"/>
    <w:rsid w:val="14CB202B"/>
    <w:rsid w:val="14DF0FAE"/>
    <w:rsid w:val="153D6025"/>
    <w:rsid w:val="15565D98"/>
    <w:rsid w:val="155E69FB"/>
    <w:rsid w:val="15F1786F"/>
    <w:rsid w:val="16184DFC"/>
    <w:rsid w:val="164B3423"/>
    <w:rsid w:val="16AB2114"/>
    <w:rsid w:val="170F26A3"/>
    <w:rsid w:val="17650515"/>
    <w:rsid w:val="17920BDE"/>
    <w:rsid w:val="17992F94"/>
    <w:rsid w:val="179C49C1"/>
    <w:rsid w:val="17B15508"/>
    <w:rsid w:val="17D12146"/>
    <w:rsid w:val="186662F2"/>
    <w:rsid w:val="188F49B5"/>
    <w:rsid w:val="18ED6A14"/>
    <w:rsid w:val="191E097B"/>
    <w:rsid w:val="19680159"/>
    <w:rsid w:val="19866520"/>
    <w:rsid w:val="19A1335A"/>
    <w:rsid w:val="19CF7600"/>
    <w:rsid w:val="1A4D6C49"/>
    <w:rsid w:val="1A626F8D"/>
    <w:rsid w:val="1B5800B6"/>
    <w:rsid w:val="1B623F1A"/>
    <w:rsid w:val="1B9413C8"/>
    <w:rsid w:val="1BDC4586"/>
    <w:rsid w:val="1C173B23"/>
    <w:rsid w:val="1C1D316C"/>
    <w:rsid w:val="1C8F393E"/>
    <w:rsid w:val="1CE67A02"/>
    <w:rsid w:val="1CF7093D"/>
    <w:rsid w:val="1D5F77B4"/>
    <w:rsid w:val="1D8B67FB"/>
    <w:rsid w:val="1E193E07"/>
    <w:rsid w:val="1E2B60BD"/>
    <w:rsid w:val="1EB37DB8"/>
    <w:rsid w:val="1EC024D4"/>
    <w:rsid w:val="1EC56C46"/>
    <w:rsid w:val="1EDD2D8B"/>
    <w:rsid w:val="1EFF124F"/>
    <w:rsid w:val="1F4B6242"/>
    <w:rsid w:val="1F5A6528"/>
    <w:rsid w:val="1F777932"/>
    <w:rsid w:val="1F9C1104"/>
    <w:rsid w:val="1F9D6372"/>
    <w:rsid w:val="2005311A"/>
    <w:rsid w:val="206375BB"/>
    <w:rsid w:val="20DA5D48"/>
    <w:rsid w:val="2105099F"/>
    <w:rsid w:val="211A411E"/>
    <w:rsid w:val="214A7798"/>
    <w:rsid w:val="21507B40"/>
    <w:rsid w:val="216E7FC6"/>
    <w:rsid w:val="223A593D"/>
    <w:rsid w:val="22630065"/>
    <w:rsid w:val="23114F5F"/>
    <w:rsid w:val="23CB10BC"/>
    <w:rsid w:val="240677D9"/>
    <w:rsid w:val="24252B06"/>
    <w:rsid w:val="24262DDA"/>
    <w:rsid w:val="242D5F16"/>
    <w:rsid w:val="24591C08"/>
    <w:rsid w:val="24877D1C"/>
    <w:rsid w:val="24AA57B9"/>
    <w:rsid w:val="24B14D99"/>
    <w:rsid w:val="24EA3E07"/>
    <w:rsid w:val="256F255E"/>
    <w:rsid w:val="257C53A7"/>
    <w:rsid w:val="259F2E44"/>
    <w:rsid w:val="26777E3E"/>
    <w:rsid w:val="26916EBA"/>
    <w:rsid w:val="27B4707A"/>
    <w:rsid w:val="27CC3C98"/>
    <w:rsid w:val="283F26BC"/>
    <w:rsid w:val="290D4568"/>
    <w:rsid w:val="29451F54"/>
    <w:rsid w:val="29632CD7"/>
    <w:rsid w:val="2A0B0AA8"/>
    <w:rsid w:val="2A346694"/>
    <w:rsid w:val="2A656CB8"/>
    <w:rsid w:val="2A701253"/>
    <w:rsid w:val="2ABD7FF8"/>
    <w:rsid w:val="2B5168A6"/>
    <w:rsid w:val="2B715282"/>
    <w:rsid w:val="2B8172D7"/>
    <w:rsid w:val="2C063C1D"/>
    <w:rsid w:val="2C155C0E"/>
    <w:rsid w:val="2C534988"/>
    <w:rsid w:val="2CA945A8"/>
    <w:rsid w:val="2D2F71A3"/>
    <w:rsid w:val="2DA1230D"/>
    <w:rsid w:val="2DF551A7"/>
    <w:rsid w:val="2E3A195C"/>
    <w:rsid w:val="2E460E2C"/>
    <w:rsid w:val="2E47051C"/>
    <w:rsid w:val="2E767417"/>
    <w:rsid w:val="2E7806D6"/>
    <w:rsid w:val="2E9077CD"/>
    <w:rsid w:val="2F4B7B98"/>
    <w:rsid w:val="2F9C57EB"/>
    <w:rsid w:val="2FBB2F70"/>
    <w:rsid w:val="303845C1"/>
    <w:rsid w:val="306453B6"/>
    <w:rsid w:val="3073370F"/>
    <w:rsid w:val="307A6987"/>
    <w:rsid w:val="30C47C02"/>
    <w:rsid w:val="30DC4F4C"/>
    <w:rsid w:val="31295CB7"/>
    <w:rsid w:val="31AB2B70"/>
    <w:rsid w:val="31C12086"/>
    <w:rsid w:val="31E63BA8"/>
    <w:rsid w:val="31ED3D92"/>
    <w:rsid w:val="325F5E35"/>
    <w:rsid w:val="32625925"/>
    <w:rsid w:val="327F0285"/>
    <w:rsid w:val="32A472E2"/>
    <w:rsid w:val="32C83D55"/>
    <w:rsid w:val="33044C2E"/>
    <w:rsid w:val="331D184C"/>
    <w:rsid w:val="336E20A7"/>
    <w:rsid w:val="34855146"/>
    <w:rsid w:val="34E46AC5"/>
    <w:rsid w:val="363C023B"/>
    <w:rsid w:val="365518DE"/>
    <w:rsid w:val="366652B8"/>
    <w:rsid w:val="36857E34"/>
    <w:rsid w:val="36EC7EB3"/>
    <w:rsid w:val="36F86858"/>
    <w:rsid w:val="37FC2378"/>
    <w:rsid w:val="38523D46"/>
    <w:rsid w:val="3862042D"/>
    <w:rsid w:val="38AA5930"/>
    <w:rsid w:val="38C34C43"/>
    <w:rsid w:val="38D567C9"/>
    <w:rsid w:val="39161552"/>
    <w:rsid w:val="39780DEB"/>
    <w:rsid w:val="398C3287"/>
    <w:rsid w:val="39A770F0"/>
    <w:rsid w:val="39AD1B7B"/>
    <w:rsid w:val="39B0341A"/>
    <w:rsid w:val="39C65F87"/>
    <w:rsid w:val="39CB1023"/>
    <w:rsid w:val="3A377697"/>
    <w:rsid w:val="3A706705"/>
    <w:rsid w:val="3ADB1971"/>
    <w:rsid w:val="3BDA477E"/>
    <w:rsid w:val="3C5207B8"/>
    <w:rsid w:val="3C6A5B02"/>
    <w:rsid w:val="3C706E90"/>
    <w:rsid w:val="3CF4361D"/>
    <w:rsid w:val="3CF950D8"/>
    <w:rsid w:val="3D59368B"/>
    <w:rsid w:val="3DB50FFF"/>
    <w:rsid w:val="3DC54FBA"/>
    <w:rsid w:val="3DD60F75"/>
    <w:rsid w:val="3DEB2C72"/>
    <w:rsid w:val="3E5F71BC"/>
    <w:rsid w:val="3ECB6600"/>
    <w:rsid w:val="3EF43DA9"/>
    <w:rsid w:val="3F0C10F2"/>
    <w:rsid w:val="3F1E0224"/>
    <w:rsid w:val="3F23643C"/>
    <w:rsid w:val="3F3146B5"/>
    <w:rsid w:val="3F542A99"/>
    <w:rsid w:val="3F8A64BB"/>
    <w:rsid w:val="3F9E55EB"/>
    <w:rsid w:val="3FB3156E"/>
    <w:rsid w:val="3FB86B84"/>
    <w:rsid w:val="40FA4F7A"/>
    <w:rsid w:val="414D77A0"/>
    <w:rsid w:val="41850CE8"/>
    <w:rsid w:val="41C757A4"/>
    <w:rsid w:val="41CC6851"/>
    <w:rsid w:val="41D43A1D"/>
    <w:rsid w:val="41EC0D67"/>
    <w:rsid w:val="4259536D"/>
    <w:rsid w:val="426C2FE5"/>
    <w:rsid w:val="42911F0D"/>
    <w:rsid w:val="42980EEF"/>
    <w:rsid w:val="42FF2D1C"/>
    <w:rsid w:val="434F07AB"/>
    <w:rsid w:val="4387286E"/>
    <w:rsid w:val="43E55B00"/>
    <w:rsid w:val="44C53F7E"/>
    <w:rsid w:val="45014B29"/>
    <w:rsid w:val="4505757D"/>
    <w:rsid w:val="452847AC"/>
    <w:rsid w:val="45294080"/>
    <w:rsid w:val="454D4212"/>
    <w:rsid w:val="458539AC"/>
    <w:rsid w:val="459B31D0"/>
    <w:rsid w:val="45D20F7D"/>
    <w:rsid w:val="45DE4E6B"/>
    <w:rsid w:val="46873754"/>
    <w:rsid w:val="469E7A3B"/>
    <w:rsid w:val="472E64A7"/>
    <w:rsid w:val="47370CD6"/>
    <w:rsid w:val="474D674C"/>
    <w:rsid w:val="479B74B7"/>
    <w:rsid w:val="47EF7816"/>
    <w:rsid w:val="482E6910"/>
    <w:rsid w:val="48A4239B"/>
    <w:rsid w:val="48C648A3"/>
    <w:rsid w:val="48DB3BA5"/>
    <w:rsid w:val="48F350D1"/>
    <w:rsid w:val="48F52BF7"/>
    <w:rsid w:val="499248EA"/>
    <w:rsid w:val="49B1267A"/>
    <w:rsid w:val="49C425C9"/>
    <w:rsid w:val="4A0B1FA6"/>
    <w:rsid w:val="4A396B13"/>
    <w:rsid w:val="4A4D0811"/>
    <w:rsid w:val="4A580415"/>
    <w:rsid w:val="4A673681"/>
    <w:rsid w:val="4B117A90"/>
    <w:rsid w:val="4B1650A7"/>
    <w:rsid w:val="4B320132"/>
    <w:rsid w:val="4B5271DD"/>
    <w:rsid w:val="4B580B35"/>
    <w:rsid w:val="4B596844"/>
    <w:rsid w:val="4B751DCD"/>
    <w:rsid w:val="4BA97CC9"/>
    <w:rsid w:val="4BDC009E"/>
    <w:rsid w:val="4CF60CEC"/>
    <w:rsid w:val="4D0F4D2D"/>
    <w:rsid w:val="4D27359B"/>
    <w:rsid w:val="4D461C73"/>
    <w:rsid w:val="4D4E0B28"/>
    <w:rsid w:val="4D896004"/>
    <w:rsid w:val="4D987FF5"/>
    <w:rsid w:val="4E154F9D"/>
    <w:rsid w:val="4E4C1176"/>
    <w:rsid w:val="4EF15C0F"/>
    <w:rsid w:val="4F400944"/>
    <w:rsid w:val="4F552641"/>
    <w:rsid w:val="4F5B577E"/>
    <w:rsid w:val="4F602D94"/>
    <w:rsid w:val="501D62BB"/>
    <w:rsid w:val="508D1967"/>
    <w:rsid w:val="50C17863"/>
    <w:rsid w:val="50E25831"/>
    <w:rsid w:val="50F639B0"/>
    <w:rsid w:val="51201AE2"/>
    <w:rsid w:val="519D0333"/>
    <w:rsid w:val="51AA7C07"/>
    <w:rsid w:val="521560B8"/>
    <w:rsid w:val="529A0DFF"/>
    <w:rsid w:val="52F201A7"/>
    <w:rsid w:val="53407165"/>
    <w:rsid w:val="53D1600F"/>
    <w:rsid w:val="53EE6BC1"/>
    <w:rsid w:val="541D1254"/>
    <w:rsid w:val="54426862"/>
    <w:rsid w:val="54954EE5"/>
    <w:rsid w:val="54FC70BB"/>
    <w:rsid w:val="550C37A2"/>
    <w:rsid w:val="55603AEE"/>
    <w:rsid w:val="55AC288F"/>
    <w:rsid w:val="56876E58"/>
    <w:rsid w:val="568B06F7"/>
    <w:rsid w:val="56BF12D9"/>
    <w:rsid w:val="57A04676"/>
    <w:rsid w:val="583D3C73"/>
    <w:rsid w:val="58580AAD"/>
    <w:rsid w:val="586B07E0"/>
    <w:rsid w:val="587C6CBB"/>
    <w:rsid w:val="588E44CE"/>
    <w:rsid w:val="58B30477"/>
    <w:rsid w:val="58BA52C3"/>
    <w:rsid w:val="58BF05BF"/>
    <w:rsid w:val="591A2206"/>
    <w:rsid w:val="596A6CE9"/>
    <w:rsid w:val="59C47753"/>
    <w:rsid w:val="5A647BDD"/>
    <w:rsid w:val="5AB6152D"/>
    <w:rsid w:val="5AC372E7"/>
    <w:rsid w:val="5ADA39FB"/>
    <w:rsid w:val="5B490B80"/>
    <w:rsid w:val="5B745BFD"/>
    <w:rsid w:val="5B9C6F02"/>
    <w:rsid w:val="5BEF6F6B"/>
    <w:rsid w:val="5C043425"/>
    <w:rsid w:val="5CDF4060"/>
    <w:rsid w:val="5D080CF3"/>
    <w:rsid w:val="5DFB2606"/>
    <w:rsid w:val="5E070FAB"/>
    <w:rsid w:val="5E374632"/>
    <w:rsid w:val="5E51556C"/>
    <w:rsid w:val="5E7128C8"/>
    <w:rsid w:val="5EE3276D"/>
    <w:rsid w:val="5F506981"/>
    <w:rsid w:val="5F8B79B9"/>
    <w:rsid w:val="5FCD3B2E"/>
    <w:rsid w:val="600A23BD"/>
    <w:rsid w:val="602145DD"/>
    <w:rsid w:val="60934D78"/>
    <w:rsid w:val="618446C0"/>
    <w:rsid w:val="61C3019A"/>
    <w:rsid w:val="61CC6611"/>
    <w:rsid w:val="61FC694D"/>
    <w:rsid w:val="6212797F"/>
    <w:rsid w:val="621A6DD3"/>
    <w:rsid w:val="624A35D2"/>
    <w:rsid w:val="625F34C0"/>
    <w:rsid w:val="62864468"/>
    <w:rsid w:val="62976675"/>
    <w:rsid w:val="62A262DB"/>
    <w:rsid w:val="62F12229"/>
    <w:rsid w:val="63387E58"/>
    <w:rsid w:val="634B7B8C"/>
    <w:rsid w:val="637E4DC3"/>
    <w:rsid w:val="63917771"/>
    <w:rsid w:val="64264155"/>
    <w:rsid w:val="64526CF8"/>
    <w:rsid w:val="64AF7CA6"/>
    <w:rsid w:val="64EC4A56"/>
    <w:rsid w:val="65164DA3"/>
    <w:rsid w:val="651C0441"/>
    <w:rsid w:val="653B778C"/>
    <w:rsid w:val="65835A10"/>
    <w:rsid w:val="65F77B57"/>
    <w:rsid w:val="66100001"/>
    <w:rsid w:val="666845B1"/>
    <w:rsid w:val="66A7157D"/>
    <w:rsid w:val="66CA526B"/>
    <w:rsid w:val="672A7AB8"/>
    <w:rsid w:val="677F13AE"/>
    <w:rsid w:val="67F0485E"/>
    <w:rsid w:val="67F36C3D"/>
    <w:rsid w:val="68BF2585"/>
    <w:rsid w:val="6901745C"/>
    <w:rsid w:val="695232F6"/>
    <w:rsid w:val="69BB3005"/>
    <w:rsid w:val="69E718CB"/>
    <w:rsid w:val="69FF522C"/>
    <w:rsid w:val="6A527A52"/>
    <w:rsid w:val="6AAA163C"/>
    <w:rsid w:val="6AAF6C52"/>
    <w:rsid w:val="6AF26B3F"/>
    <w:rsid w:val="6B7B1AB7"/>
    <w:rsid w:val="6BCB0634"/>
    <w:rsid w:val="6CC60283"/>
    <w:rsid w:val="6CD81D64"/>
    <w:rsid w:val="6CF50B68"/>
    <w:rsid w:val="6D142D9C"/>
    <w:rsid w:val="6D366AE9"/>
    <w:rsid w:val="6D716441"/>
    <w:rsid w:val="6DA36BD9"/>
    <w:rsid w:val="6E166FE8"/>
    <w:rsid w:val="6E7066F8"/>
    <w:rsid w:val="6E804C74"/>
    <w:rsid w:val="6E94732E"/>
    <w:rsid w:val="6EA12D56"/>
    <w:rsid w:val="6EBA5BC5"/>
    <w:rsid w:val="6F745D74"/>
    <w:rsid w:val="6FA112FF"/>
    <w:rsid w:val="700417EE"/>
    <w:rsid w:val="707324D0"/>
    <w:rsid w:val="70CB40BA"/>
    <w:rsid w:val="710F34FC"/>
    <w:rsid w:val="71AA1F21"/>
    <w:rsid w:val="72EC6569"/>
    <w:rsid w:val="73090EC9"/>
    <w:rsid w:val="730B4C41"/>
    <w:rsid w:val="73AE4D72"/>
    <w:rsid w:val="73FC458A"/>
    <w:rsid w:val="74235FBB"/>
    <w:rsid w:val="74687E72"/>
    <w:rsid w:val="74AF5AA0"/>
    <w:rsid w:val="74C9522A"/>
    <w:rsid w:val="74E25E76"/>
    <w:rsid w:val="75153B55"/>
    <w:rsid w:val="752124FA"/>
    <w:rsid w:val="752D5343"/>
    <w:rsid w:val="755D01D3"/>
    <w:rsid w:val="769A0FC0"/>
    <w:rsid w:val="76DF607A"/>
    <w:rsid w:val="76EB7264"/>
    <w:rsid w:val="76F37EC6"/>
    <w:rsid w:val="775D17E4"/>
    <w:rsid w:val="776E579F"/>
    <w:rsid w:val="77AE203F"/>
    <w:rsid w:val="7801512E"/>
    <w:rsid w:val="78434E7D"/>
    <w:rsid w:val="784529A4"/>
    <w:rsid w:val="78623556"/>
    <w:rsid w:val="786A5135"/>
    <w:rsid w:val="78774B27"/>
    <w:rsid w:val="78866B18"/>
    <w:rsid w:val="79733540"/>
    <w:rsid w:val="79C773E8"/>
    <w:rsid w:val="7A236D15"/>
    <w:rsid w:val="7A4A42A1"/>
    <w:rsid w:val="7AB160CE"/>
    <w:rsid w:val="7ABB6F4D"/>
    <w:rsid w:val="7AC1208A"/>
    <w:rsid w:val="7B114DBF"/>
    <w:rsid w:val="7B3960C4"/>
    <w:rsid w:val="7B8F3F36"/>
    <w:rsid w:val="7BCE2CB0"/>
    <w:rsid w:val="7BFC5A6F"/>
    <w:rsid w:val="7C460A98"/>
    <w:rsid w:val="7CA51C63"/>
    <w:rsid w:val="7CA83501"/>
    <w:rsid w:val="7D9F2B56"/>
    <w:rsid w:val="7E5712FC"/>
    <w:rsid w:val="7EB909A6"/>
    <w:rsid w:val="7ED06D3F"/>
    <w:rsid w:val="7EE051D4"/>
    <w:rsid w:val="7F6D27E0"/>
    <w:rsid w:val="7F710522"/>
    <w:rsid w:val="7F743B6E"/>
    <w:rsid w:val="7FA97CBC"/>
    <w:rsid w:val="7FD77024"/>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99"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nhideWhenUsed="0" w:uiPriority="99" w:name="Default Paragraph Font"/>
    <w:lsdException w:qFormat="1" w:unhideWhenUsed="0" w:uiPriority="99" w:semiHidden="0"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99" w:semiHidden="0" w:name="Body Text Indent 2"/>
    <w:lsdException w:uiPriority="99" w:name="Body Text Indent 3"/>
    <w:lsdException w:uiPriority="99" w:name="Block Text"/>
    <w:lsdException w:uiPriority="99" w:name="Hyperlink"/>
    <w:lsdException w:uiPriority="99" w:name="FollowedHyperlink"/>
    <w:lsdException w:qFormat="1" w:unhideWhenUsed="0" w:uiPriority="99" w:semiHidden="0" w:name="Strong"/>
    <w:lsdException w:qFormat="1" w:unhideWhenUsed="0" w:uiPriority="0" w:semiHidden="0" w:name="Emphasis" w:locked="1"/>
    <w:lsdException w:uiPriority="99" w:name="Document Map"/>
    <w:lsdException w:qFormat="1" w:unhideWhenUsed="0"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20"/>
    <w:qFormat/>
    <w:uiPriority w:val="99"/>
    <w:pPr>
      <w:keepNext/>
      <w:keepLines/>
      <w:spacing w:before="340" w:after="330" w:line="576" w:lineRule="auto"/>
      <w:outlineLvl w:val="0"/>
    </w:pPr>
    <w:rPr>
      <w:b/>
      <w:kern w:val="44"/>
      <w:sz w:val="44"/>
      <w:szCs w:val="20"/>
    </w:rPr>
  </w:style>
  <w:style w:type="paragraph" w:styleId="3">
    <w:name w:val="heading 2"/>
    <w:basedOn w:val="1"/>
    <w:next w:val="1"/>
    <w:link w:val="21"/>
    <w:qFormat/>
    <w:uiPriority w:val="99"/>
    <w:pPr>
      <w:keepNext/>
      <w:keepLines/>
      <w:spacing w:before="260" w:after="260" w:line="413" w:lineRule="auto"/>
      <w:outlineLvl w:val="1"/>
    </w:pPr>
    <w:rPr>
      <w:rFonts w:ascii="Arial" w:hAnsi="Arial" w:eastAsia="黑体"/>
      <w:b/>
      <w:sz w:val="32"/>
    </w:rPr>
  </w:style>
  <w:style w:type="paragraph" w:styleId="4">
    <w:name w:val="heading 3"/>
    <w:basedOn w:val="1"/>
    <w:next w:val="1"/>
    <w:link w:val="22"/>
    <w:qFormat/>
    <w:uiPriority w:val="99"/>
    <w:pPr>
      <w:keepNext/>
      <w:keepLines/>
      <w:spacing w:before="260" w:after="260" w:line="413" w:lineRule="auto"/>
      <w:outlineLvl w:val="2"/>
    </w:pPr>
    <w:rPr>
      <w:b/>
      <w:sz w:val="32"/>
    </w:rPr>
  </w:style>
  <w:style w:type="character" w:default="1" w:styleId="18">
    <w:name w:val="Default Paragraph Font"/>
    <w:semiHidden/>
    <w:qFormat/>
    <w:uiPriority w:val="99"/>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5">
    <w:name w:val="Normal Indent"/>
    <w:basedOn w:val="1"/>
    <w:qFormat/>
    <w:uiPriority w:val="99"/>
    <w:pPr>
      <w:spacing w:line="400" w:lineRule="atLeast"/>
      <w:ind w:firstLine="420"/>
    </w:pPr>
    <w:rPr>
      <w:rFonts w:ascii="宋体"/>
      <w:sz w:val="24"/>
    </w:rPr>
  </w:style>
  <w:style w:type="paragraph" w:styleId="6">
    <w:name w:val="annotation text"/>
    <w:basedOn w:val="1"/>
    <w:link w:val="23"/>
    <w:qFormat/>
    <w:uiPriority w:val="99"/>
    <w:pPr>
      <w:jc w:val="left"/>
    </w:pPr>
  </w:style>
  <w:style w:type="paragraph" w:styleId="7">
    <w:name w:val="Body Text"/>
    <w:basedOn w:val="1"/>
    <w:next w:val="1"/>
    <w:link w:val="24"/>
    <w:qFormat/>
    <w:uiPriority w:val="99"/>
    <w:pPr>
      <w:jc w:val="center"/>
    </w:pPr>
    <w:rPr>
      <w:b/>
      <w:bCs/>
      <w:sz w:val="18"/>
      <w:szCs w:val="18"/>
    </w:rPr>
  </w:style>
  <w:style w:type="paragraph" w:styleId="8">
    <w:name w:val="Body Text Indent"/>
    <w:basedOn w:val="1"/>
    <w:link w:val="25"/>
    <w:qFormat/>
    <w:uiPriority w:val="99"/>
    <w:pPr>
      <w:ind w:firstLine="141" w:firstLineChars="50"/>
    </w:pPr>
    <w:rPr>
      <w:rFonts w:ascii="宋体" w:hAnsi="宋体"/>
      <w:b/>
      <w:bCs/>
      <w:color w:val="FF0000"/>
      <w:sz w:val="28"/>
      <w:szCs w:val="28"/>
    </w:rPr>
  </w:style>
  <w:style w:type="paragraph" w:styleId="9">
    <w:name w:val="Plain Text"/>
    <w:basedOn w:val="1"/>
    <w:link w:val="26"/>
    <w:qFormat/>
    <w:uiPriority w:val="99"/>
    <w:rPr>
      <w:rFonts w:ascii="宋体" w:hAnsi="Courier New"/>
    </w:rPr>
  </w:style>
  <w:style w:type="paragraph" w:styleId="10">
    <w:name w:val="Body Text Indent 2"/>
    <w:basedOn w:val="1"/>
    <w:link w:val="27"/>
    <w:qFormat/>
    <w:uiPriority w:val="99"/>
    <w:pPr>
      <w:spacing w:line="520" w:lineRule="atLeast"/>
      <w:ind w:firstLine="480" w:firstLineChars="200"/>
    </w:pPr>
    <w:rPr>
      <w:color w:val="FF6600"/>
      <w:sz w:val="24"/>
      <w:szCs w:val="24"/>
    </w:rPr>
  </w:style>
  <w:style w:type="paragraph" w:styleId="11">
    <w:name w:val="footer"/>
    <w:basedOn w:val="1"/>
    <w:link w:val="28"/>
    <w:qFormat/>
    <w:uiPriority w:val="99"/>
    <w:pPr>
      <w:tabs>
        <w:tab w:val="center" w:pos="4153"/>
        <w:tab w:val="right" w:pos="8306"/>
      </w:tabs>
      <w:snapToGrid w:val="0"/>
      <w:jc w:val="left"/>
    </w:pPr>
    <w:rPr>
      <w:sz w:val="18"/>
    </w:rPr>
  </w:style>
  <w:style w:type="paragraph" w:styleId="12">
    <w:name w:val="header"/>
    <w:basedOn w:val="1"/>
    <w:link w:val="29"/>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3">
    <w:name w:val="toc 1"/>
    <w:basedOn w:val="1"/>
    <w:next w:val="1"/>
    <w:qFormat/>
    <w:uiPriority w:val="99"/>
  </w:style>
  <w:style w:type="paragraph" w:styleId="14">
    <w:name w:val="HTML Preformatted"/>
    <w:basedOn w:val="1"/>
    <w:link w:val="30"/>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hAnsi="Courier New" w:eastAsia="黑体" w:cs="Courier New"/>
      <w:kern w:val="0"/>
      <w:sz w:val="20"/>
      <w:szCs w:val="20"/>
    </w:rPr>
  </w:style>
  <w:style w:type="paragraph" w:styleId="15">
    <w:name w:val="Title"/>
    <w:basedOn w:val="1"/>
    <w:link w:val="31"/>
    <w:qFormat/>
    <w:uiPriority w:val="99"/>
    <w:pPr>
      <w:spacing w:before="240" w:after="60"/>
      <w:jc w:val="center"/>
      <w:outlineLvl w:val="0"/>
    </w:pPr>
    <w:rPr>
      <w:rFonts w:ascii="Arial" w:hAnsi="Arial"/>
      <w:b/>
      <w:sz w:val="32"/>
    </w:rPr>
  </w:style>
  <w:style w:type="table" w:styleId="17">
    <w:name w:val="Table Grid"/>
    <w:basedOn w:val="16"/>
    <w:qFormat/>
    <w:uiPriority w:val="99"/>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9">
    <w:name w:val="Strong"/>
    <w:basedOn w:val="18"/>
    <w:qFormat/>
    <w:uiPriority w:val="99"/>
    <w:rPr>
      <w:rFonts w:cs="Times New Roman"/>
      <w:b/>
    </w:rPr>
  </w:style>
  <w:style w:type="character" w:customStyle="1" w:styleId="20">
    <w:name w:val="Heading 1 Char"/>
    <w:basedOn w:val="18"/>
    <w:link w:val="2"/>
    <w:qFormat/>
    <w:uiPriority w:val="9"/>
    <w:rPr>
      <w:rFonts w:ascii="Calibri" w:hAnsi="Calibri"/>
      <w:b/>
      <w:bCs/>
      <w:kern w:val="44"/>
      <w:sz w:val="44"/>
      <w:szCs w:val="44"/>
    </w:rPr>
  </w:style>
  <w:style w:type="character" w:customStyle="1" w:styleId="21">
    <w:name w:val="Heading 2 Char"/>
    <w:basedOn w:val="18"/>
    <w:link w:val="3"/>
    <w:semiHidden/>
    <w:qFormat/>
    <w:uiPriority w:val="9"/>
    <w:rPr>
      <w:rFonts w:asciiTheme="majorHAnsi" w:hAnsiTheme="majorHAnsi" w:eastAsiaTheme="majorEastAsia" w:cstheme="majorBidi"/>
      <w:b/>
      <w:bCs/>
      <w:sz w:val="32"/>
      <w:szCs w:val="32"/>
    </w:rPr>
  </w:style>
  <w:style w:type="character" w:customStyle="1" w:styleId="22">
    <w:name w:val="Heading 3 Char"/>
    <w:basedOn w:val="18"/>
    <w:link w:val="4"/>
    <w:semiHidden/>
    <w:qFormat/>
    <w:uiPriority w:val="9"/>
    <w:rPr>
      <w:rFonts w:ascii="Calibri" w:hAnsi="Calibri"/>
      <w:b/>
      <w:bCs/>
      <w:sz w:val="32"/>
      <w:szCs w:val="32"/>
    </w:rPr>
  </w:style>
  <w:style w:type="character" w:customStyle="1" w:styleId="23">
    <w:name w:val="Comment Text Char"/>
    <w:basedOn w:val="18"/>
    <w:link w:val="6"/>
    <w:semiHidden/>
    <w:qFormat/>
    <w:uiPriority w:val="99"/>
    <w:rPr>
      <w:rFonts w:ascii="Calibri" w:hAnsi="Calibri"/>
    </w:rPr>
  </w:style>
  <w:style w:type="character" w:customStyle="1" w:styleId="24">
    <w:name w:val="Body Text Char"/>
    <w:basedOn w:val="18"/>
    <w:link w:val="7"/>
    <w:semiHidden/>
    <w:qFormat/>
    <w:uiPriority w:val="99"/>
    <w:rPr>
      <w:rFonts w:ascii="Calibri" w:hAnsi="Calibri"/>
    </w:rPr>
  </w:style>
  <w:style w:type="character" w:customStyle="1" w:styleId="25">
    <w:name w:val="Body Text Indent Char"/>
    <w:basedOn w:val="18"/>
    <w:link w:val="8"/>
    <w:semiHidden/>
    <w:qFormat/>
    <w:uiPriority w:val="99"/>
    <w:rPr>
      <w:rFonts w:ascii="Calibri" w:hAnsi="Calibri"/>
    </w:rPr>
  </w:style>
  <w:style w:type="character" w:customStyle="1" w:styleId="26">
    <w:name w:val="Plain Text Char"/>
    <w:basedOn w:val="18"/>
    <w:link w:val="9"/>
    <w:semiHidden/>
    <w:qFormat/>
    <w:uiPriority w:val="99"/>
    <w:rPr>
      <w:rFonts w:ascii="宋体" w:hAnsi="Courier New" w:cs="Courier New"/>
      <w:szCs w:val="21"/>
    </w:rPr>
  </w:style>
  <w:style w:type="character" w:customStyle="1" w:styleId="27">
    <w:name w:val="Body Text Indent 2 Char"/>
    <w:basedOn w:val="18"/>
    <w:link w:val="10"/>
    <w:semiHidden/>
    <w:qFormat/>
    <w:uiPriority w:val="99"/>
    <w:rPr>
      <w:rFonts w:ascii="Calibri" w:hAnsi="Calibri"/>
    </w:rPr>
  </w:style>
  <w:style w:type="character" w:customStyle="1" w:styleId="28">
    <w:name w:val="Footer Char"/>
    <w:basedOn w:val="18"/>
    <w:link w:val="11"/>
    <w:semiHidden/>
    <w:qFormat/>
    <w:uiPriority w:val="99"/>
    <w:rPr>
      <w:rFonts w:ascii="Calibri" w:hAnsi="Calibri"/>
      <w:sz w:val="18"/>
      <w:szCs w:val="18"/>
    </w:rPr>
  </w:style>
  <w:style w:type="character" w:customStyle="1" w:styleId="29">
    <w:name w:val="Header Char"/>
    <w:basedOn w:val="18"/>
    <w:link w:val="12"/>
    <w:semiHidden/>
    <w:qFormat/>
    <w:uiPriority w:val="99"/>
    <w:rPr>
      <w:rFonts w:ascii="Calibri" w:hAnsi="Calibri"/>
      <w:sz w:val="18"/>
      <w:szCs w:val="18"/>
    </w:rPr>
  </w:style>
  <w:style w:type="character" w:customStyle="1" w:styleId="30">
    <w:name w:val="HTML Preformatted Char"/>
    <w:basedOn w:val="18"/>
    <w:link w:val="14"/>
    <w:semiHidden/>
    <w:qFormat/>
    <w:uiPriority w:val="99"/>
    <w:rPr>
      <w:rFonts w:ascii="Courier New" w:hAnsi="Courier New" w:cs="Courier New"/>
      <w:sz w:val="20"/>
      <w:szCs w:val="20"/>
    </w:rPr>
  </w:style>
  <w:style w:type="character" w:customStyle="1" w:styleId="31">
    <w:name w:val="Title Char"/>
    <w:basedOn w:val="18"/>
    <w:link w:val="15"/>
    <w:qFormat/>
    <w:uiPriority w:val="10"/>
    <w:rPr>
      <w:rFonts w:asciiTheme="majorHAnsi" w:hAnsiTheme="majorHAnsi" w:cstheme="majorBidi"/>
      <w:b/>
      <w:bCs/>
      <w:sz w:val="32"/>
      <w:szCs w:val="32"/>
    </w:rPr>
  </w:style>
  <w:style w:type="paragraph" w:customStyle="1" w:styleId="32">
    <w:name w:val="列出段落1"/>
    <w:basedOn w:val="1"/>
    <w:qFormat/>
    <w:uiPriority w:val="99"/>
    <w:pPr>
      <w:ind w:firstLine="200" w:firstLineChars="200"/>
    </w:pPr>
  </w:style>
  <w:style w:type="paragraph" w:customStyle="1" w:styleId="33">
    <w:name w:val="缩进正文"/>
    <w:basedOn w:val="1"/>
    <w:qFormat/>
    <w:uiPriority w:val="99"/>
    <w:pPr>
      <w:adjustRightInd w:val="0"/>
      <w:snapToGrid w:val="0"/>
      <w:spacing w:line="360" w:lineRule="auto"/>
      <w:ind w:firstLine="640" w:firstLineChars="200"/>
    </w:pPr>
  </w:style>
  <w:style w:type="paragraph" w:customStyle="1" w:styleId="34">
    <w:name w:val="样式 正文缩进正文（首行缩进两字） + 宋体 行距: 1.5 倍行距"/>
    <w:basedOn w:val="5"/>
    <w:qFormat/>
    <w:uiPriority w:val="99"/>
    <w:pPr>
      <w:tabs>
        <w:tab w:val="left" w:pos="2730"/>
      </w:tabs>
      <w:adjustRightInd w:val="0"/>
      <w:snapToGrid w:val="0"/>
      <w:spacing w:line="300" w:lineRule="auto"/>
      <w:ind w:firstLine="482"/>
      <w:jc w:val="left"/>
      <w:textAlignment w:val="baseline"/>
    </w:pPr>
    <w:rPr>
      <w:rFonts w:eastAsia="幼圆"/>
    </w:rPr>
  </w:style>
  <w:style w:type="character" w:customStyle="1" w:styleId="35">
    <w:name w:val="font51"/>
    <w:basedOn w:val="18"/>
    <w:qFormat/>
    <w:uiPriority w:val="99"/>
    <w:rPr>
      <w:rFonts w:ascii="华文楷体" w:hAnsi="华文楷体" w:eastAsia="华文楷体" w:cs="华文楷体"/>
      <w:b/>
      <w:bCs/>
      <w:color w:val="000000"/>
      <w:sz w:val="16"/>
      <w:szCs w:val="16"/>
      <w:u w:val="none"/>
    </w:rPr>
  </w:style>
  <w:style w:type="character" w:customStyle="1" w:styleId="36">
    <w:name w:val="font81"/>
    <w:basedOn w:val="18"/>
    <w:qFormat/>
    <w:uiPriority w:val="99"/>
    <w:rPr>
      <w:rFonts w:ascii="华文楷体" w:hAnsi="华文楷体" w:eastAsia="华文楷体" w:cs="华文楷体"/>
      <w:color w:val="000000"/>
      <w:sz w:val="16"/>
      <w:szCs w:val="16"/>
      <w:u w:val="none"/>
    </w:rPr>
  </w:style>
  <w:style w:type="character" w:customStyle="1" w:styleId="37">
    <w:name w:val="font31"/>
    <w:basedOn w:val="18"/>
    <w:qFormat/>
    <w:uiPriority w:val="99"/>
    <w:rPr>
      <w:rFonts w:ascii="宋体" w:hAnsi="宋体" w:eastAsia="宋体" w:cs="宋体"/>
      <w:color w:val="000000"/>
      <w:sz w:val="22"/>
      <w:szCs w:val="22"/>
      <w:u w:val="none"/>
    </w:rPr>
  </w:style>
  <w:style w:type="character" w:customStyle="1" w:styleId="38">
    <w:name w:val="font21"/>
    <w:basedOn w:val="18"/>
    <w:qFormat/>
    <w:uiPriority w:val="99"/>
    <w:rPr>
      <w:rFonts w:ascii="Calibri" w:hAnsi="Calibri" w:cs="Calibri"/>
      <w:color w:val="000000"/>
      <w:sz w:val="22"/>
      <w:szCs w:val="22"/>
      <w:u w:val="none"/>
    </w:rPr>
  </w:style>
  <w:style w:type="paragraph" w:customStyle="1" w:styleId="39">
    <w:name w:val="正文小"/>
    <w:basedOn w:val="10"/>
    <w:qFormat/>
    <w:uiPriority w:val="99"/>
    <w:pPr>
      <w:adjustRightInd w:val="0"/>
      <w:snapToGrid w:val="0"/>
      <w:ind w:firstLine="567"/>
    </w:pPr>
    <w:rPr>
      <w:lang w:eastAsia="ja-JP"/>
    </w:rPr>
  </w:style>
  <w:style w:type="paragraph" w:customStyle="1" w:styleId="40">
    <w:name w:val="表格"/>
    <w:basedOn w:val="1"/>
    <w:qFormat/>
    <w:uiPriority w:val="99"/>
    <w:pPr>
      <w:suppressAutoHyphens/>
      <w:snapToGrid w:val="0"/>
      <w:jc w:val="center"/>
    </w:pPr>
    <w:rPr>
      <w:kern w:val="0"/>
      <w:szCs w:val="28"/>
    </w:rPr>
  </w:style>
  <w:style w:type="paragraph" w:customStyle="1" w:styleId="41">
    <w:name w:val="可研正文1"/>
    <w:basedOn w:val="1"/>
    <w:next w:val="1"/>
    <w:qFormat/>
    <w:uiPriority w:val="99"/>
    <w:pPr>
      <w:spacing w:line="360" w:lineRule="auto"/>
      <w:ind w:firstLine="856" w:firstLineChars="200"/>
      <w:jc w:val="left"/>
    </w:pPr>
    <w:rPr>
      <w:kern w:val="0"/>
      <w:szCs w:val="20"/>
    </w:rPr>
  </w:style>
  <w:style w:type="paragraph" w:customStyle="1" w:styleId="42">
    <w:name w:val="款1.1.1"/>
    <w:basedOn w:val="15"/>
    <w:next w:val="1"/>
    <w:qFormat/>
    <w:uiPriority w:val="99"/>
    <w:pPr>
      <w:spacing w:before="120" w:after="120"/>
      <w:jc w:val="left"/>
      <w:outlineLvl w:val="2"/>
    </w:pPr>
    <w:rPr>
      <w:rFonts w:ascii="Times New Roman" w:hAnsi="Times New Roman"/>
      <w:b w:val="0"/>
      <w:sz w:val="24"/>
    </w:rPr>
  </w:style>
  <w:style w:type="character" w:customStyle="1" w:styleId="43">
    <w:name w:val="节"/>
    <w:qFormat/>
    <w:uiPriority w:val="99"/>
    <w:rPr>
      <w:rFonts w:ascii="Arial" w:hAnsi="Arial" w:eastAsia="黑体"/>
      <w:sz w:val="24"/>
    </w:rPr>
  </w:style>
  <w:style w:type="paragraph" w:customStyle="1" w:styleId="44">
    <w:name w:val="表格标题"/>
    <w:basedOn w:val="1"/>
    <w:qFormat/>
    <w:uiPriority w:val="99"/>
    <w:pPr>
      <w:jc w:val="center"/>
    </w:pPr>
  </w:style>
  <w:style w:type="paragraph" w:customStyle="1" w:styleId="45">
    <w:name w:val="章"/>
    <w:basedOn w:val="1"/>
    <w:qFormat/>
    <w:uiPriority w:val="99"/>
    <w:pPr>
      <w:spacing w:beforeLines="50" w:afterLines="50" w:line="600" w:lineRule="exact"/>
      <w:ind w:firstLine="200" w:firstLineChars="200"/>
      <w:jc w:val="center"/>
      <w:outlineLvl w:val="0"/>
    </w:pPr>
    <w:rPr>
      <w:rFonts w:ascii="宋体" w:hAnsi="宋体"/>
      <w:b/>
      <w:bCs/>
      <w:kern w:val="0"/>
      <w:sz w:val="32"/>
      <w:szCs w:val="28"/>
    </w:rPr>
  </w:style>
  <w:style w:type="paragraph" w:customStyle="1" w:styleId="46">
    <w:name w:val="表格1"/>
    <w:basedOn w:val="1"/>
    <w:next w:val="1"/>
    <w:qFormat/>
    <w:uiPriority w:val="99"/>
    <w:pPr>
      <w:autoSpaceDE w:val="0"/>
      <w:autoSpaceDN w:val="0"/>
      <w:adjustRightInd w:val="0"/>
      <w:jc w:val="left"/>
    </w:pPr>
    <w:rPr>
      <w:rFonts w:ascii="宋体"/>
      <w:kern w:val="0"/>
      <w:sz w:val="24"/>
      <w:szCs w:val="20"/>
    </w:rPr>
  </w:style>
  <w:style w:type="character" w:customStyle="1" w:styleId="47">
    <w:name w:val="font11"/>
    <w:basedOn w:val="18"/>
    <w:qFormat/>
    <w:uiPriority w:val="99"/>
    <w:rPr>
      <w:rFonts w:ascii="宋体" w:hAnsi="宋体" w:eastAsia="宋体" w:cs="宋体"/>
      <w:color w:val="000000"/>
      <w:sz w:val="21"/>
      <w:szCs w:val="21"/>
      <w:u w:val="none"/>
    </w:rPr>
  </w:style>
  <w:style w:type="paragraph" w:customStyle="1" w:styleId="48">
    <w:name w:val="WPSOffice手动目录 1"/>
    <w:qFormat/>
    <w:uiPriority w:val="99"/>
    <w:rPr>
      <w:rFonts w:ascii="Times New Roman" w:hAnsi="Times New Roman" w:eastAsia="宋体" w:cs="Times New Roman"/>
      <w:kern w:val="0"/>
      <w:sz w:val="20"/>
      <w:szCs w:val="20"/>
      <w:lang w:val="en-US" w:eastAsia="zh-CN" w:bidi="ar-SA"/>
    </w:rPr>
  </w:style>
  <w:style w:type="paragraph" w:customStyle="1" w:styleId="49">
    <w:name w:val="WPSOffice手动目录 2"/>
    <w:qFormat/>
    <w:uiPriority w:val="99"/>
    <w:pPr>
      <w:ind w:left="200" w:leftChars="200"/>
    </w:pPr>
    <w:rPr>
      <w:rFonts w:ascii="Times New Roman" w:hAnsi="Times New Roman" w:eastAsia="宋体" w:cs="Times New Roman"/>
      <w:kern w:val="0"/>
      <w:sz w:val="20"/>
      <w:szCs w:val="20"/>
      <w:lang w:val="en-US" w:eastAsia="zh-CN" w:bidi="ar-SA"/>
    </w:rPr>
  </w:style>
  <w:style w:type="paragraph" w:styleId="5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Normal_Wordconv.dotm</Template>
  <Pages>100</Pages>
  <Words>32018</Words>
  <Characters>40691</Characters>
  <Lines>0</Lines>
  <Paragraphs>0</Paragraphs>
  <TotalTime>22</TotalTime>
  <ScaleCrop>false</ScaleCrop>
  <LinksUpToDate>false</LinksUpToDate>
  <CharactersWithSpaces>45097</CharactersWithSpaces>
  <Application>WPS Office_12.1.0.15324_F1E327BC-269C-435d-A152-05C5408002CA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2023-08-04T01:10:00Z</dcterms:created>
  <dc:creator>Administrator</dc:creator>
  <cp:lastModifiedBy>O K</cp:lastModifiedBy>
  <dcterms:modified xsi:type="dcterms:W3CDTF">2023-10-11T06:01:25Z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2052-12.1.0.15324</vt:lpwstr>
  </property>
  <property fmtid="{D5CDD505-2E9C-101B-9397-08002B2CF9AE}" pid="3" name="ICV">
    <vt:lpwstr>A8F856A18C444CB2A6035239D5ED5032_13</vt:lpwstr>
  </property>
</Properties>
</file>