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黑体" w:hAnsi="黑体" w:eastAsia="黑体"/>
          <w:sz w:val="44"/>
          <w:szCs w:val="44"/>
          <w:lang w:val="en-US" w:eastAsia="zh-CN"/>
        </w:rPr>
        <w:t>索普股份热电仪控楼抗爆改造项目招标书</w:t>
      </w:r>
    </w:p>
    <w:p>
      <w:pPr>
        <w:jc w:val="center"/>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根据《石油化工企业设计防火标准》和《石油化工建筑物抗爆设计标准》等规定要求，索普股份对热电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楼抗爆性能进行改造，现本着公开、公平、公正的原则，面向社会公开招标，诚邀具有实力的合格投标人前来投标，有关事项如下：</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left"/>
        <w:textAlignment w:val="auto"/>
        <w:outlineLvl w:val="9"/>
        <w:rPr>
          <w:rFonts w:hint="eastAsia" w:ascii="仿宋" w:hAnsi="仿宋" w:eastAsia="仿宋" w:cs="仿宋"/>
          <w:bCs/>
          <w:color w:val="auto"/>
          <w:sz w:val="30"/>
          <w:szCs w:val="30"/>
        </w:rPr>
      </w:pPr>
      <w:r>
        <w:rPr>
          <w:rFonts w:hint="eastAsia" w:ascii="仿宋" w:hAnsi="仿宋" w:eastAsia="仿宋" w:cs="仿宋"/>
          <w:b/>
          <w:color w:val="auto"/>
          <w:sz w:val="30"/>
          <w:szCs w:val="30"/>
        </w:rPr>
        <w:t>一、招标概况：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outlineLvl w:val="9"/>
        <w:rPr>
          <w:rFonts w:hint="eastAsia" w:ascii="仿宋" w:hAnsi="仿宋" w:eastAsia="仿宋" w:cs="仿宋"/>
          <w:bCs/>
          <w:color w:val="auto"/>
          <w:sz w:val="30"/>
          <w:szCs w:val="30"/>
          <w:u w:val="single"/>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sz w:val="30"/>
          <w:szCs w:val="30"/>
          <w:u w:val="single"/>
        </w:rPr>
        <w:t>热电</w:t>
      </w:r>
      <w:r>
        <w:rPr>
          <w:rFonts w:hint="eastAsia" w:ascii="仿宋" w:hAnsi="仿宋" w:eastAsia="仿宋" w:cs="仿宋"/>
          <w:sz w:val="30"/>
          <w:szCs w:val="30"/>
          <w:u w:val="single"/>
          <w:lang w:val="en-US" w:eastAsia="zh-CN"/>
        </w:rPr>
        <w:t>仪控</w:t>
      </w:r>
      <w:r>
        <w:rPr>
          <w:rFonts w:hint="eastAsia" w:ascii="仿宋" w:hAnsi="仿宋" w:eastAsia="仿宋" w:cs="仿宋"/>
          <w:sz w:val="30"/>
          <w:szCs w:val="30"/>
          <w:u w:val="single"/>
        </w:rPr>
        <w:t>楼抗爆改造工程项目</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bCs/>
          <w:color w:val="auto"/>
          <w:sz w:val="30"/>
          <w:szCs w:val="30"/>
        </w:rPr>
        <w:t>（二）交货时间：</w:t>
      </w:r>
      <w:r>
        <w:rPr>
          <w:rFonts w:hint="eastAsia" w:ascii="仿宋" w:hAnsi="仿宋" w:eastAsia="仿宋" w:cs="仿宋"/>
          <w:sz w:val="30"/>
          <w:szCs w:val="30"/>
          <w:highlight w:val="none"/>
          <w:u w:val="single"/>
        </w:rPr>
        <w:t>202</w:t>
      </w:r>
      <w:r>
        <w:rPr>
          <w:rFonts w:hint="eastAsia" w:ascii="仿宋" w:hAnsi="仿宋" w:eastAsia="仿宋" w:cs="仿宋"/>
          <w:sz w:val="30"/>
          <w:szCs w:val="30"/>
          <w:highlight w:val="none"/>
          <w:u w:val="single"/>
          <w:lang w:val="en-US" w:eastAsia="zh-CN"/>
        </w:rPr>
        <w:t>4</w:t>
      </w:r>
      <w:r>
        <w:rPr>
          <w:rFonts w:hint="eastAsia" w:ascii="仿宋" w:hAnsi="仿宋" w:eastAsia="仿宋" w:cs="仿宋"/>
          <w:sz w:val="30"/>
          <w:szCs w:val="30"/>
          <w:highlight w:val="none"/>
          <w:u w:val="single"/>
        </w:rPr>
        <w:t>年</w:t>
      </w:r>
      <w:r>
        <w:rPr>
          <w:rFonts w:hint="eastAsia" w:ascii="仿宋" w:hAnsi="仿宋" w:eastAsia="仿宋" w:cs="仿宋"/>
          <w:sz w:val="30"/>
          <w:szCs w:val="30"/>
          <w:highlight w:val="none"/>
          <w:u w:val="single"/>
          <w:lang w:val="en-US" w:eastAsia="zh-CN"/>
        </w:rPr>
        <w:t>6</w:t>
      </w:r>
      <w:r>
        <w:rPr>
          <w:rFonts w:hint="eastAsia" w:ascii="仿宋" w:hAnsi="仿宋" w:eastAsia="仿宋" w:cs="仿宋"/>
          <w:sz w:val="30"/>
          <w:szCs w:val="30"/>
          <w:highlight w:val="none"/>
          <w:u w:val="single"/>
        </w:rPr>
        <w:t>月</w:t>
      </w:r>
      <w:r>
        <w:rPr>
          <w:rFonts w:hint="eastAsia" w:ascii="仿宋" w:hAnsi="仿宋" w:eastAsia="仿宋" w:cs="仿宋"/>
          <w:sz w:val="30"/>
          <w:szCs w:val="30"/>
          <w:highlight w:val="none"/>
          <w:u w:val="single"/>
          <w:lang w:val="en-US" w:eastAsia="zh-CN"/>
        </w:rPr>
        <w:t>30</w:t>
      </w:r>
      <w:r>
        <w:rPr>
          <w:rFonts w:hint="eastAsia" w:ascii="仿宋" w:hAnsi="仿宋" w:eastAsia="仿宋" w:cs="仿宋"/>
          <w:sz w:val="30"/>
          <w:szCs w:val="30"/>
          <w:highlight w:val="none"/>
          <w:u w:val="single"/>
        </w:rPr>
        <w:t>日</w:t>
      </w:r>
      <w:r>
        <w:rPr>
          <w:rFonts w:hint="eastAsia" w:ascii="仿宋" w:hAnsi="仿宋" w:eastAsia="仿宋" w:cs="仿宋"/>
          <w:sz w:val="30"/>
          <w:szCs w:val="30"/>
        </w:rPr>
        <w:t>前完成热电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楼抗爆改造工程；</w:t>
      </w:r>
      <w:r>
        <w:rPr>
          <w:rFonts w:hint="eastAsia" w:ascii="仿宋" w:hAnsi="仿宋" w:eastAsia="仿宋" w:cs="仿宋"/>
          <w:sz w:val="30"/>
          <w:szCs w:val="30"/>
          <w:highlight w:val="none"/>
          <w:u w:val="single"/>
        </w:rPr>
        <w:t>202</w:t>
      </w:r>
      <w:r>
        <w:rPr>
          <w:rFonts w:hint="eastAsia" w:ascii="仿宋" w:hAnsi="仿宋" w:eastAsia="仿宋" w:cs="仿宋"/>
          <w:sz w:val="30"/>
          <w:szCs w:val="30"/>
          <w:highlight w:val="none"/>
          <w:u w:val="single"/>
          <w:lang w:val="en-US" w:eastAsia="zh-CN"/>
        </w:rPr>
        <w:t>4</w:t>
      </w:r>
      <w:r>
        <w:rPr>
          <w:rFonts w:hint="eastAsia" w:ascii="仿宋" w:hAnsi="仿宋" w:eastAsia="仿宋" w:cs="仿宋"/>
          <w:sz w:val="30"/>
          <w:szCs w:val="30"/>
          <w:highlight w:val="none"/>
          <w:u w:val="single"/>
        </w:rPr>
        <w:t>年</w:t>
      </w:r>
      <w:r>
        <w:rPr>
          <w:rFonts w:hint="eastAsia" w:ascii="仿宋" w:hAnsi="仿宋" w:eastAsia="仿宋" w:cs="仿宋"/>
          <w:sz w:val="30"/>
          <w:szCs w:val="30"/>
          <w:highlight w:val="none"/>
          <w:u w:val="single"/>
          <w:lang w:val="en-US" w:eastAsia="zh-CN"/>
        </w:rPr>
        <w:t>7</w:t>
      </w:r>
      <w:r>
        <w:rPr>
          <w:rFonts w:hint="eastAsia" w:ascii="仿宋" w:hAnsi="仿宋" w:eastAsia="仿宋" w:cs="仿宋"/>
          <w:sz w:val="30"/>
          <w:szCs w:val="30"/>
          <w:highlight w:val="none"/>
          <w:u w:val="single"/>
        </w:rPr>
        <w:t>月</w:t>
      </w:r>
      <w:r>
        <w:rPr>
          <w:rFonts w:hint="eastAsia" w:ascii="仿宋" w:hAnsi="仿宋" w:eastAsia="仿宋" w:cs="仿宋"/>
          <w:sz w:val="30"/>
          <w:szCs w:val="30"/>
          <w:highlight w:val="none"/>
          <w:u w:val="single"/>
          <w:lang w:val="en-US" w:eastAsia="zh-CN"/>
        </w:rPr>
        <w:t>30</w:t>
      </w:r>
      <w:r>
        <w:rPr>
          <w:rFonts w:hint="eastAsia" w:ascii="仿宋" w:hAnsi="仿宋" w:eastAsia="仿宋" w:cs="仿宋"/>
          <w:sz w:val="30"/>
          <w:szCs w:val="30"/>
          <w:highlight w:val="none"/>
          <w:u w:val="single"/>
        </w:rPr>
        <w:t>日</w:t>
      </w:r>
      <w:r>
        <w:rPr>
          <w:rFonts w:hint="eastAsia" w:ascii="仿宋" w:hAnsi="仿宋" w:eastAsia="仿宋" w:cs="仿宋"/>
          <w:sz w:val="30"/>
          <w:szCs w:val="30"/>
        </w:rPr>
        <w:t>前完成相关内部验收和工程验收；</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outlineLvl w:val="9"/>
        <w:rPr>
          <w:rFonts w:hint="eastAsia" w:ascii="仿宋" w:hAnsi="仿宋" w:eastAsia="仿宋" w:cs="仿宋"/>
          <w:bCs/>
          <w:color w:val="auto"/>
          <w:sz w:val="30"/>
          <w:szCs w:val="30"/>
          <w:lang w:val="en-US" w:eastAsia="zh-CN"/>
        </w:rPr>
      </w:pPr>
      <w:r>
        <w:rPr>
          <w:rFonts w:hint="eastAsia" w:ascii="仿宋" w:hAnsi="仿宋" w:eastAsia="仿宋" w:cs="仿宋"/>
          <w:sz w:val="30"/>
          <w:szCs w:val="30"/>
          <w:highlight w:val="none"/>
          <w:u w:val="single"/>
        </w:rPr>
        <w:t>202</w:t>
      </w:r>
      <w:r>
        <w:rPr>
          <w:rFonts w:hint="eastAsia" w:ascii="仿宋" w:hAnsi="仿宋" w:eastAsia="仿宋" w:cs="仿宋"/>
          <w:sz w:val="30"/>
          <w:szCs w:val="30"/>
          <w:highlight w:val="none"/>
          <w:u w:val="single"/>
          <w:lang w:val="en-US" w:eastAsia="zh-CN"/>
        </w:rPr>
        <w:t>4</w:t>
      </w:r>
      <w:r>
        <w:rPr>
          <w:rFonts w:hint="eastAsia" w:ascii="仿宋" w:hAnsi="仿宋" w:eastAsia="仿宋" w:cs="仿宋"/>
          <w:sz w:val="30"/>
          <w:szCs w:val="30"/>
          <w:highlight w:val="none"/>
          <w:u w:val="single"/>
        </w:rPr>
        <w:t>年</w:t>
      </w:r>
      <w:r>
        <w:rPr>
          <w:rFonts w:hint="eastAsia" w:ascii="仿宋" w:hAnsi="仿宋" w:eastAsia="仿宋" w:cs="仿宋"/>
          <w:sz w:val="30"/>
          <w:szCs w:val="30"/>
          <w:highlight w:val="none"/>
          <w:u w:val="single"/>
          <w:lang w:val="en-US" w:eastAsia="zh-CN"/>
        </w:rPr>
        <w:t>8</w:t>
      </w:r>
      <w:r>
        <w:rPr>
          <w:rFonts w:hint="eastAsia" w:ascii="仿宋" w:hAnsi="仿宋" w:eastAsia="仿宋" w:cs="仿宋"/>
          <w:sz w:val="30"/>
          <w:szCs w:val="30"/>
          <w:highlight w:val="none"/>
          <w:u w:val="single"/>
        </w:rPr>
        <w:t>月</w:t>
      </w:r>
      <w:r>
        <w:rPr>
          <w:rFonts w:hint="eastAsia" w:ascii="仿宋" w:hAnsi="仿宋" w:eastAsia="仿宋" w:cs="仿宋"/>
          <w:sz w:val="30"/>
          <w:szCs w:val="30"/>
          <w:highlight w:val="none"/>
          <w:u w:val="single"/>
          <w:lang w:val="en-US" w:eastAsia="zh-CN"/>
        </w:rPr>
        <w:t>30</w:t>
      </w:r>
      <w:r>
        <w:rPr>
          <w:rFonts w:hint="eastAsia" w:ascii="仿宋" w:hAnsi="仿宋" w:eastAsia="仿宋" w:cs="仿宋"/>
          <w:sz w:val="30"/>
          <w:szCs w:val="30"/>
          <w:highlight w:val="none"/>
          <w:u w:val="single"/>
        </w:rPr>
        <w:t>日</w:t>
      </w:r>
      <w:r>
        <w:rPr>
          <w:rFonts w:hint="eastAsia" w:ascii="仿宋" w:hAnsi="仿宋" w:eastAsia="仿宋" w:cs="仿宋"/>
          <w:sz w:val="30"/>
          <w:szCs w:val="30"/>
        </w:rPr>
        <w:t>前完成外部专家相关验收工作</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579" w:firstLineChars="193"/>
        <w:textAlignment w:val="auto"/>
        <w:outlineLvl w:val="9"/>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w:t>
      </w:r>
      <w:r>
        <w:rPr>
          <w:rFonts w:hint="eastAsia" w:ascii="仿宋" w:hAnsi="仿宋" w:eastAsia="仿宋" w:cs="仿宋"/>
          <w:bCs/>
          <w:color w:val="auto"/>
          <w:sz w:val="30"/>
          <w:szCs w:val="30"/>
        </w:rPr>
        <w:t>交货地点：</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江苏索普股份化工股份有限公司安全环境部</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w:t>
      </w:r>
      <w:r>
        <w:rPr>
          <w:rFonts w:hint="eastAsia" w:ascii="仿宋_GB2312" w:hAnsi="仿宋_GB2312" w:eastAsia="仿宋_GB2312" w:cs="仿宋_GB2312"/>
          <w:kern w:val="1"/>
          <w:sz w:val="30"/>
          <w:szCs w:val="30"/>
          <w:lang w:val="en-US" w:eastAsia="zh-CN"/>
        </w:rPr>
        <w:t>服务期限：1年。</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00"/>
        <w:jc w:val="left"/>
        <w:textAlignment w:val="auto"/>
        <w:outlineLvl w:val="9"/>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五</w:t>
      </w:r>
      <w:r>
        <w:rPr>
          <w:rFonts w:hint="eastAsia" w:ascii="仿宋" w:hAnsi="仿宋" w:eastAsia="仿宋" w:cs="仿宋"/>
          <w:bCs/>
          <w:color w:val="auto"/>
          <w:kern w:val="1"/>
          <w:sz w:val="30"/>
          <w:szCs w:val="30"/>
        </w:rPr>
        <w:t>）</w:t>
      </w:r>
      <w:r>
        <w:rPr>
          <w:rFonts w:hint="eastAsia" w:ascii="仿宋" w:hAnsi="仿宋" w:eastAsia="仿宋" w:cs="仿宋"/>
          <w:bCs/>
          <w:color w:val="auto"/>
          <w:sz w:val="30"/>
          <w:szCs w:val="30"/>
        </w:rPr>
        <w:t>投标截止时间</w:t>
      </w:r>
      <w:r>
        <w:rPr>
          <w:rFonts w:hint="eastAsia" w:ascii="仿宋" w:hAnsi="仿宋" w:eastAsia="仿宋" w:cs="仿宋"/>
          <w:bCs/>
          <w:color w:val="auto"/>
          <w:sz w:val="30"/>
          <w:szCs w:val="30"/>
          <w:lang w:eastAsia="zh-CN"/>
        </w:rPr>
        <w:t>：</w:t>
      </w:r>
      <w:r>
        <w:rPr>
          <w:rFonts w:hint="eastAsia" w:ascii="仿宋" w:hAnsi="仿宋" w:eastAsia="仿宋" w:cs="仿宋"/>
          <w:bCs/>
          <w:color w:val="000000" w:themeColor="text1"/>
          <w:sz w:val="30"/>
          <w:szCs w:val="30"/>
          <w14:textFill>
            <w14:solidFill>
              <w14:schemeClr w14:val="tx1"/>
            </w14:solidFill>
          </w14:textFill>
        </w:rPr>
        <w:t>202</w:t>
      </w:r>
      <w:r>
        <w:rPr>
          <w:rFonts w:hint="eastAsia" w:ascii="仿宋" w:hAnsi="仿宋" w:eastAsia="仿宋" w:cs="仿宋"/>
          <w:bCs/>
          <w:color w:val="000000" w:themeColor="text1"/>
          <w:sz w:val="30"/>
          <w:szCs w:val="30"/>
          <w:lang w:val="en-US" w:eastAsia="zh-CN"/>
          <w14:textFill>
            <w14:solidFill>
              <w14:schemeClr w14:val="tx1"/>
            </w14:solidFill>
          </w14:textFill>
        </w:rPr>
        <w:t>4</w:t>
      </w:r>
      <w:r>
        <w:rPr>
          <w:rFonts w:hint="eastAsia" w:ascii="仿宋" w:hAnsi="仿宋" w:eastAsia="仿宋" w:cs="仿宋"/>
          <w:bCs/>
          <w:color w:val="000000" w:themeColor="text1"/>
          <w:sz w:val="30"/>
          <w:szCs w:val="30"/>
          <w14:textFill>
            <w14:solidFill>
              <w14:schemeClr w14:val="tx1"/>
            </w14:solidFill>
          </w14:textFill>
        </w:rPr>
        <w:t>年</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u w:val="single"/>
          <w:lang w:val="en-US" w:eastAsia="zh-CN"/>
          <w14:textFill>
            <w14:solidFill>
              <w14:schemeClr w14:val="tx1"/>
            </w14:solidFill>
          </w14:textFill>
        </w:rPr>
        <w:t>5</w:t>
      </w:r>
      <w:r>
        <w:rPr>
          <w:rFonts w:hint="eastAsia" w:ascii="仿宋" w:hAnsi="仿宋" w:eastAsia="仿宋" w:cs="仿宋"/>
          <w:bCs/>
          <w:color w:val="000000" w:themeColor="text1"/>
          <w:sz w:val="30"/>
          <w:szCs w:val="30"/>
          <w14:textFill>
            <w14:solidFill>
              <w14:schemeClr w14:val="tx1"/>
            </w14:solidFill>
          </w14:textFill>
        </w:rPr>
        <w:t>月</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u w:val="single"/>
          <w:lang w:val="en-US" w:eastAsia="zh-CN"/>
          <w14:textFill>
            <w14:solidFill>
              <w14:schemeClr w14:val="tx1"/>
            </w14:solidFill>
          </w14:textFill>
        </w:rPr>
        <w:t>29</w:t>
      </w:r>
      <w:r>
        <w:rPr>
          <w:rFonts w:hint="eastAsia" w:ascii="仿宋" w:hAnsi="仿宋" w:eastAsia="仿宋" w:cs="仿宋"/>
          <w:bCs/>
          <w:color w:val="000000" w:themeColor="text1"/>
          <w:sz w:val="30"/>
          <w:szCs w:val="30"/>
          <w14:textFill>
            <w14:solidFill>
              <w14:schemeClr w14:val="tx1"/>
            </w14:solidFill>
          </w14:textFill>
        </w:rPr>
        <w:t>日</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u w:val="single"/>
          <w:lang w:val="en-US" w:eastAsia="zh-CN"/>
          <w14:textFill>
            <w14:solidFill>
              <w14:schemeClr w14:val="tx1"/>
            </w14:solidFill>
          </w14:textFill>
        </w:rPr>
        <w:t>14：00</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时（北京时间）；</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00" w:firstLineChars="2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color w:val="000000" w:themeColor="text1"/>
          <w:kern w:val="1"/>
          <w:sz w:val="30"/>
          <w:szCs w:val="30"/>
          <w14:textFill>
            <w14:solidFill>
              <w14:schemeClr w14:val="tx1"/>
            </w14:solidFill>
          </w14:textFill>
        </w:rPr>
        <w:t>（</w:t>
      </w:r>
      <w:r>
        <w:rPr>
          <w:rFonts w:hint="eastAsia" w:ascii="仿宋" w:hAnsi="仿宋" w:eastAsia="仿宋" w:cs="仿宋"/>
          <w:bCs/>
          <w:color w:val="000000" w:themeColor="text1"/>
          <w:kern w:val="1"/>
          <w:sz w:val="30"/>
          <w:szCs w:val="30"/>
          <w:lang w:val="en-US" w:eastAsia="zh-CN"/>
          <w14:textFill>
            <w14:solidFill>
              <w14:schemeClr w14:val="tx1"/>
            </w14:solidFill>
          </w14:textFill>
        </w:rPr>
        <w:t>六</w:t>
      </w:r>
      <w:r>
        <w:rPr>
          <w:rFonts w:hint="eastAsia" w:ascii="仿宋" w:hAnsi="仿宋" w:eastAsia="仿宋" w:cs="仿宋"/>
          <w:bCs/>
          <w:color w:val="000000" w:themeColor="text1"/>
          <w:kern w:val="1"/>
          <w:sz w:val="30"/>
          <w:szCs w:val="30"/>
          <w14:textFill>
            <w14:solidFill>
              <w14:schemeClr w14:val="tx1"/>
            </w14:solidFill>
          </w14:textFill>
        </w:rPr>
        <w:t>）开标时间</w:t>
      </w:r>
      <w:r>
        <w:rPr>
          <w:rFonts w:hint="eastAsia" w:ascii="仿宋" w:hAnsi="仿宋" w:eastAsia="仿宋" w:cs="仿宋"/>
          <w:bCs/>
          <w:color w:val="000000" w:themeColor="text1"/>
          <w:kern w:val="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202</w:t>
      </w:r>
      <w:r>
        <w:rPr>
          <w:rFonts w:hint="eastAsia" w:ascii="仿宋" w:hAnsi="仿宋" w:eastAsia="仿宋" w:cs="仿宋"/>
          <w:bCs/>
          <w:color w:val="000000" w:themeColor="text1"/>
          <w:sz w:val="30"/>
          <w:szCs w:val="30"/>
          <w:lang w:val="en-US" w:eastAsia="zh-CN"/>
          <w14:textFill>
            <w14:solidFill>
              <w14:schemeClr w14:val="tx1"/>
            </w14:solidFill>
          </w14:textFill>
        </w:rPr>
        <w:t>4</w:t>
      </w:r>
      <w:r>
        <w:rPr>
          <w:rFonts w:hint="eastAsia" w:ascii="仿宋" w:hAnsi="仿宋" w:eastAsia="仿宋" w:cs="仿宋"/>
          <w:bCs/>
          <w:color w:val="000000" w:themeColor="text1"/>
          <w:sz w:val="30"/>
          <w:szCs w:val="30"/>
          <w14:textFill>
            <w14:solidFill>
              <w14:schemeClr w14:val="tx1"/>
            </w14:solidFill>
          </w14:textFill>
        </w:rPr>
        <w:t>年</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u w:val="single"/>
          <w:lang w:val="en-US" w:eastAsia="zh-CN"/>
          <w14:textFill>
            <w14:solidFill>
              <w14:schemeClr w14:val="tx1"/>
            </w14:solidFill>
          </w14:textFill>
        </w:rPr>
        <w:t>5</w:t>
      </w:r>
      <w:r>
        <w:rPr>
          <w:rFonts w:hint="eastAsia" w:ascii="仿宋" w:hAnsi="仿宋" w:eastAsia="仿宋" w:cs="仿宋"/>
          <w:bCs/>
          <w:color w:val="000000" w:themeColor="text1"/>
          <w:sz w:val="30"/>
          <w:szCs w:val="30"/>
          <w14:textFill>
            <w14:solidFill>
              <w14:schemeClr w14:val="tx1"/>
            </w14:solidFill>
          </w14:textFill>
        </w:rPr>
        <w:t>月</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u w:val="single"/>
          <w:lang w:val="en-US" w:eastAsia="zh-CN"/>
          <w14:textFill>
            <w14:solidFill>
              <w14:schemeClr w14:val="tx1"/>
            </w14:solidFill>
          </w14:textFill>
        </w:rPr>
        <w:t>29</w:t>
      </w:r>
      <w:r>
        <w:rPr>
          <w:rFonts w:hint="eastAsia" w:ascii="仿宋" w:hAnsi="仿宋" w:eastAsia="仿宋" w:cs="仿宋"/>
          <w:bCs/>
          <w:color w:val="000000" w:themeColor="text1"/>
          <w:sz w:val="30"/>
          <w:szCs w:val="30"/>
          <w14:textFill>
            <w14:solidFill>
              <w14:schemeClr w14:val="tx1"/>
            </w14:solidFill>
          </w14:textFill>
        </w:rPr>
        <w:t>日</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14：00</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r>
        <w:rPr>
          <w:rFonts w:hint="eastAsia" w:ascii="仿宋" w:hAnsi="仿宋" w:eastAsia="仿宋" w:cs="仿宋"/>
          <w:bCs/>
          <w:color w:val="auto"/>
          <w:kern w:val="1"/>
          <w:sz w:val="30"/>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00" w:firstLineChars="2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（七）开标地点：江苏索普(集团)有限公司招标中心；</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lang w:val="en-US" w:eastAsia="zh-CN"/>
        </w:rPr>
        <w:t>八）</w:t>
      </w:r>
      <w:r>
        <w:rPr>
          <w:rFonts w:hint="eastAsia" w:ascii="仿宋" w:hAnsi="仿宋" w:eastAsia="仿宋" w:cs="仿宋"/>
          <w:bCs/>
          <w:color w:val="auto"/>
          <w:kern w:val="1"/>
          <w:sz w:val="30"/>
          <w:szCs w:val="30"/>
        </w:rPr>
        <w:t>中标公示：中标信息将于开标后在索普集团官网公示，请各投标人登录http://www.sopo.com.cn查询。</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二、招标内容：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（一）改造内容：热电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楼的抗爆改造工程项目清单：</w:t>
      </w:r>
    </w:p>
    <w:tbl>
      <w:tblPr>
        <w:tblStyle w:val="10"/>
        <w:tblW w:w="8326" w:type="dxa"/>
        <w:tblInd w:w="0" w:type="dxa"/>
        <w:shd w:val="clear" w:color="auto" w:fill="auto"/>
        <w:tblLayout w:type="fixed"/>
        <w:tblCellMar>
          <w:top w:w="0" w:type="dxa"/>
          <w:left w:w="0" w:type="dxa"/>
          <w:bottom w:w="0" w:type="dxa"/>
          <w:right w:w="0" w:type="dxa"/>
        </w:tblCellMar>
      </w:tblPr>
      <w:tblGrid>
        <w:gridCol w:w="3914"/>
        <w:gridCol w:w="1385"/>
        <w:gridCol w:w="1384"/>
        <w:gridCol w:w="1643"/>
      </w:tblGrid>
      <w:tr>
        <w:tblPrEx>
          <w:shd w:val="clear" w:color="auto" w:fill="auto"/>
          <w:tblCellMar>
            <w:top w:w="0" w:type="dxa"/>
            <w:left w:w="0" w:type="dxa"/>
            <w:bottom w:w="0" w:type="dxa"/>
            <w:right w:w="0" w:type="dxa"/>
          </w:tblCellMar>
        </w:tblPrEx>
        <w:trPr>
          <w:trHeight w:val="44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数量</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备注</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结构分析及计算</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抗爆改造施工图设计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填充墙抗爆涂层加固</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542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包含墙面处理</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轻质抗爆墙</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207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轻质抗爆屋面</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双层抗爆板，SBS防水卷材</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抗爆门</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18.4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1.5x2.4（3樘）；0.9*2.1（4樘）</w:t>
            </w: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隔离前室抗爆门互锁</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3个隔离前室</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抗爆阀</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墙面桥架处理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用抗爆板包裹处理</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土建与脚手架</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甲方招标单位负责</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bCs w:val="0"/>
          <w:sz w:val="30"/>
          <w:szCs w:val="30"/>
        </w:rPr>
        <w:t>三、招标要求</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（一）投标单位资质要求</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eastAsia="zh-CN"/>
        </w:rPr>
        <w:t>.</w:t>
      </w:r>
      <w:r>
        <w:rPr>
          <w:rFonts w:hint="eastAsia" w:ascii="仿宋" w:hAnsi="仿宋" w:eastAsia="仿宋" w:cs="仿宋"/>
          <w:bCs/>
          <w:sz w:val="30"/>
          <w:szCs w:val="30"/>
        </w:rPr>
        <w:t>投标单位资质要求：投标人必须是在中华人民共和国境内注册的具有独立承担民事责任能力的法人或其他组织，能独立承担民事责任和合同义务，具有从事本项目的经营范围和能力（须提供营业执照复印件并加盖公章）</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投标前应到热电抗爆改造现场勘察，或向招标方索要热电仪控楼结构图，便于固定总价的报价</w:t>
      </w:r>
      <w:r>
        <w:rPr>
          <w:rFonts w:hint="eastAsia" w:ascii="仿宋" w:hAnsi="仿宋" w:eastAsia="仿宋" w:cs="仿宋"/>
          <w:bCs/>
          <w:sz w:val="30"/>
          <w:szCs w:val="30"/>
        </w:rPr>
        <w:t>；</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sz w:val="30"/>
          <w:szCs w:val="30"/>
        </w:rPr>
        <w:t>2</w:t>
      </w:r>
      <w:r>
        <w:rPr>
          <w:rFonts w:hint="eastAsia" w:ascii="仿宋" w:hAnsi="仿宋" w:eastAsia="仿宋" w:cs="仿宋"/>
          <w:bCs/>
          <w:sz w:val="30"/>
          <w:szCs w:val="30"/>
          <w:lang w:eastAsia="zh-CN"/>
        </w:rPr>
        <w:t>.</w:t>
      </w:r>
      <w:r>
        <w:rPr>
          <w:rFonts w:hint="eastAsia" w:ascii="仿宋" w:hAnsi="仿宋" w:eastAsia="仿宋" w:cs="仿宋"/>
          <w:bCs/>
          <w:sz w:val="30"/>
          <w:szCs w:val="30"/>
        </w:rPr>
        <w:t>投标人需具备建筑工程总承包三级</w:t>
      </w:r>
      <w:r>
        <w:rPr>
          <w:rFonts w:hint="eastAsia" w:ascii="仿宋" w:hAnsi="仿宋" w:eastAsia="仿宋" w:cs="仿宋"/>
          <w:bCs/>
          <w:sz w:val="30"/>
          <w:szCs w:val="30"/>
          <w:lang w:eastAsia="zh-CN"/>
        </w:rPr>
        <w:t>，</w:t>
      </w:r>
      <w:r>
        <w:rPr>
          <w:rFonts w:hint="eastAsia" w:ascii="仿宋" w:hAnsi="仿宋" w:eastAsia="仿宋" w:cs="仿宋"/>
          <w:bCs/>
          <w:sz w:val="30"/>
          <w:szCs w:val="30"/>
        </w:rPr>
        <w:t>特种工程（结构补强）专业承包资质（</w:t>
      </w:r>
      <w:r>
        <w:rPr>
          <w:rFonts w:hint="eastAsia" w:ascii="仿宋" w:hAnsi="仿宋" w:eastAsia="仿宋" w:cs="仿宋"/>
          <w:bCs/>
          <w:color w:val="000000" w:themeColor="text1"/>
          <w:sz w:val="30"/>
          <w:szCs w:val="30"/>
          <w14:textFill>
            <w14:solidFill>
              <w14:schemeClr w14:val="tx1"/>
            </w14:solidFill>
          </w14:textFill>
        </w:rPr>
        <w:t>须</w:t>
      </w:r>
      <w:r>
        <w:rPr>
          <w:rFonts w:hint="eastAsia" w:ascii="仿宋" w:hAnsi="仿宋" w:eastAsia="仿宋" w:cs="仿宋"/>
          <w:bCs/>
          <w:color w:val="000000" w:themeColor="text1"/>
          <w:sz w:val="30"/>
          <w:szCs w:val="30"/>
          <w:lang w:eastAsia="zh-CN"/>
          <w14:textFill>
            <w14:solidFill>
              <w14:schemeClr w14:val="tx1"/>
            </w14:solidFill>
          </w14:textFill>
        </w:rPr>
        <w:t>提供</w:t>
      </w:r>
      <w:r>
        <w:rPr>
          <w:rFonts w:hint="eastAsia" w:ascii="仿宋" w:hAnsi="仿宋" w:eastAsia="仿宋" w:cs="仿宋"/>
          <w:bCs/>
          <w:color w:val="000000" w:themeColor="text1"/>
          <w:sz w:val="30"/>
          <w:szCs w:val="30"/>
          <w14:textFill>
            <w14:solidFill>
              <w14:schemeClr w14:val="tx1"/>
            </w14:solidFill>
          </w14:textFill>
        </w:rPr>
        <w:t>相关资质的复印件并加盖公章）；</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至少具有</w:t>
      </w:r>
      <w:r>
        <w:rPr>
          <w:rFonts w:hint="eastAsia" w:ascii="仿宋" w:hAnsi="仿宋" w:eastAsia="仿宋" w:cs="仿宋"/>
          <w:bCs/>
          <w:color w:val="000000" w:themeColor="text1"/>
          <w:sz w:val="30"/>
          <w:szCs w:val="30"/>
          <w:lang w:val="en-US" w:eastAsia="zh-CN"/>
          <w14:textFill>
            <w14:solidFill>
              <w14:schemeClr w14:val="tx1"/>
            </w14:solidFill>
          </w14:textFill>
        </w:rPr>
        <w:t>3</w:t>
      </w:r>
      <w:r>
        <w:rPr>
          <w:rFonts w:hint="eastAsia" w:ascii="仿宋" w:hAnsi="仿宋" w:eastAsia="仿宋" w:cs="仿宋"/>
          <w:bCs/>
          <w:color w:val="000000" w:themeColor="text1"/>
          <w:sz w:val="30"/>
          <w:szCs w:val="30"/>
          <w14:textFill>
            <w14:solidFill>
              <w14:schemeClr w14:val="tx1"/>
            </w14:solidFill>
          </w14:textFill>
        </w:rPr>
        <w:t>家的化工企业抗爆改造工程业绩（须</w:t>
      </w:r>
      <w:r>
        <w:rPr>
          <w:rFonts w:hint="eastAsia" w:ascii="仿宋" w:hAnsi="仿宋" w:eastAsia="仿宋" w:cs="仿宋"/>
          <w:bCs/>
          <w:color w:val="000000" w:themeColor="text1"/>
          <w:sz w:val="30"/>
          <w:szCs w:val="30"/>
          <w:lang w:eastAsia="zh-CN"/>
          <w14:textFill>
            <w14:solidFill>
              <w14:schemeClr w14:val="tx1"/>
            </w14:solidFill>
          </w14:textFill>
        </w:rPr>
        <w:t>提供</w:t>
      </w:r>
      <w:r>
        <w:rPr>
          <w:rFonts w:hint="eastAsia" w:ascii="仿宋" w:hAnsi="仿宋" w:eastAsia="仿宋" w:cs="仿宋"/>
          <w:bCs/>
          <w:color w:val="000000" w:themeColor="text1"/>
          <w:sz w:val="30"/>
          <w:szCs w:val="30"/>
          <w14:textFill>
            <w14:solidFill>
              <w14:schemeClr w14:val="tx1"/>
            </w14:solidFill>
          </w14:textFill>
        </w:rPr>
        <w:t>工程业绩的合同首页、金额页和大签页的复印件并加盖公章）；</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4</w:t>
      </w:r>
      <w:r>
        <w:rPr>
          <w:rFonts w:hint="eastAsia" w:ascii="仿宋" w:hAnsi="仿宋" w:eastAsia="仿宋" w:cs="仿宋"/>
          <w:bCs/>
          <w:sz w:val="30"/>
          <w:szCs w:val="30"/>
          <w:lang w:eastAsia="zh-CN"/>
        </w:rPr>
        <w:t>.</w:t>
      </w:r>
      <w:r>
        <w:rPr>
          <w:rFonts w:hint="eastAsia" w:ascii="仿宋" w:hAnsi="仿宋" w:eastAsia="仿宋" w:cs="仿宋"/>
          <w:bCs/>
          <w:sz w:val="30"/>
          <w:szCs w:val="30"/>
        </w:rPr>
        <w:t>投标人应满足上述资格要求，并提供以下资料：营业执照；应具备住房和城乡建设厅颁发的在有效期内的安全生产许可证；</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5</w:t>
      </w:r>
      <w:r>
        <w:rPr>
          <w:rFonts w:hint="eastAsia" w:ascii="仿宋" w:hAnsi="仿宋" w:eastAsia="仿宋" w:cs="仿宋"/>
          <w:bCs/>
          <w:sz w:val="30"/>
          <w:szCs w:val="30"/>
          <w:lang w:eastAsia="zh-CN"/>
        </w:rPr>
        <w:t>.</w:t>
      </w:r>
      <w:r>
        <w:rPr>
          <w:rFonts w:hint="eastAsia" w:ascii="仿宋" w:hAnsi="仿宋" w:eastAsia="仿宋" w:cs="仿宋"/>
          <w:bCs/>
          <w:sz w:val="30"/>
          <w:szCs w:val="30"/>
        </w:rPr>
        <w:t>投标人近三年经营活动中无重大安全、质量事故、合同争议纠纷引起的诉讼、仲裁、违法行为记录及有关行政处罚等相关情况的声明和证明材料（须提供承诺书并加盖公章）</w:t>
      </w:r>
      <w:r>
        <w:rPr>
          <w:rFonts w:hint="eastAsia" w:ascii="仿宋" w:hAnsi="仿宋" w:eastAsia="仿宋" w:cs="仿宋"/>
          <w:bCs/>
          <w:sz w:val="30"/>
          <w:szCs w:val="30"/>
          <w:lang w:eastAsia="zh-CN"/>
        </w:rPr>
        <w:t>。</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（二）如需进场安装及检维修施工，投标人需提供以下材料：</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zh-CN" w:eastAsia="zh-CN"/>
        </w:rPr>
      </w:pP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lang w:val="zh-CN" w:eastAsia="zh-CN"/>
        </w:rPr>
        <w:t>人员保险证明（工伤保险缴纳证明或人身意外伤害保险或雇主责任险缴纳证明等）。</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zh-CN" w:eastAsia="zh-CN"/>
        </w:rPr>
      </w:pPr>
      <w:r>
        <w:rPr>
          <w:rFonts w:hint="eastAsia" w:ascii="仿宋_GB2312" w:hAnsi="仿宋_GB2312" w:eastAsia="仿宋_GB2312" w:cs="仿宋_GB2312"/>
          <w:bCs/>
          <w:color w:val="auto"/>
          <w:sz w:val="30"/>
          <w:szCs w:val="30"/>
          <w:lang w:val="en-US" w:eastAsia="zh-CN"/>
        </w:rPr>
        <w:t>2.</w:t>
      </w:r>
      <w:r>
        <w:rPr>
          <w:rFonts w:hint="eastAsia" w:ascii="仿宋_GB2312" w:hAnsi="仿宋_GB2312" w:eastAsia="仿宋_GB2312" w:cs="仿宋_GB2312"/>
          <w:bCs/>
          <w:color w:val="auto"/>
          <w:sz w:val="30"/>
          <w:szCs w:val="30"/>
          <w:lang w:val="zh-CN" w:eastAsia="zh-CN"/>
        </w:rPr>
        <w:t>特种作业人员提供资质证明（电工证、焊工证、架子工、吊装证、</w:t>
      </w:r>
      <w:r>
        <w:rPr>
          <w:rFonts w:hint="eastAsia" w:ascii="仿宋_GB2312" w:hAnsi="仿宋_GB2312" w:eastAsia="仿宋_GB2312" w:cs="仿宋_GB2312"/>
          <w:bCs/>
          <w:color w:val="auto"/>
          <w:sz w:val="30"/>
          <w:szCs w:val="30"/>
          <w:lang w:val="en-US" w:eastAsia="zh-CN"/>
        </w:rPr>
        <w:t>登高作业证</w:t>
      </w:r>
      <w:r>
        <w:rPr>
          <w:rFonts w:hint="eastAsia" w:ascii="仿宋_GB2312" w:hAnsi="仿宋_GB2312" w:eastAsia="仿宋_GB2312" w:cs="仿宋_GB2312"/>
          <w:bCs/>
          <w:color w:val="auto"/>
          <w:sz w:val="30"/>
          <w:szCs w:val="30"/>
          <w:lang w:val="zh-CN" w:eastAsia="zh-CN"/>
        </w:rPr>
        <w:t>等）。</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zh-CN" w:eastAsia="zh-CN"/>
        </w:rPr>
      </w:pPr>
      <w:r>
        <w:rPr>
          <w:rFonts w:hint="eastAsia" w:ascii="仿宋_GB2312" w:hAnsi="仿宋_GB2312" w:eastAsia="仿宋_GB2312" w:cs="仿宋_GB2312"/>
          <w:bCs/>
          <w:color w:val="auto"/>
          <w:sz w:val="30"/>
          <w:szCs w:val="30"/>
          <w:lang w:val="en-US" w:eastAsia="zh-CN"/>
        </w:rPr>
        <w:t>3.</w:t>
      </w:r>
      <w:r>
        <w:rPr>
          <w:rFonts w:hint="eastAsia" w:ascii="仿宋_GB2312" w:hAnsi="仿宋_GB2312" w:eastAsia="仿宋_GB2312" w:cs="仿宋_GB2312"/>
          <w:bCs/>
          <w:color w:val="auto"/>
          <w:sz w:val="30"/>
          <w:szCs w:val="30"/>
          <w:lang w:val="zh-CN" w:eastAsia="zh-CN"/>
        </w:rPr>
        <w:t>符合安全标准的设备、设施。</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zh-CN" w:eastAsia="zh-CN"/>
        </w:rPr>
      </w:pPr>
      <w:r>
        <w:rPr>
          <w:rFonts w:hint="eastAsia" w:ascii="仿宋_GB2312" w:hAnsi="仿宋_GB2312" w:eastAsia="仿宋_GB2312" w:cs="仿宋_GB2312"/>
          <w:bCs/>
          <w:color w:val="auto"/>
          <w:sz w:val="30"/>
          <w:szCs w:val="30"/>
          <w:lang w:val="en-US" w:eastAsia="zh-CN"/>
        </w:rPr>
        <w:t>4.</w:t>
      </w:r>
      <w:r>
        <w:rPr>
          <w:rFonts w:hint="eastAsia" w:ascii="仿宋_GB2312" w:hAnsi="仿宋_GB2312" w:eastAsia="仿宋_GB2312" w:cs="仿宋_GB2312"/>
          <w:bCs/>
          <w:color w:val="auto"/>
          <w:sz w:val="30"/>
          <w:szCs w:val="30"/>
          <w:lang w:val="zh-CN" w:eastAsia="zh-CN"/>
        </w:rPr>
        <w:t>专业安全管理人员资格证书。</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5.施工人员年龄原则上要求在18至60周岁。</w:t>
      </w:r>
    </w:p>
    <w:p>
      <w:pPr>
        <w:pStyle w:val="5"/>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bCs/>
          <w:color w:val="auto"/>
          <w:sz w:val="30"/>
          <w:szCs w:val="30"/>
          <w:lang w:val="en-US" w:eastAsia="zh-CN"/>
        </w:rPr>
      </w:pPr>
      <w:r>
        <w:rPr>
          <w:rFonts w:hint="eastAsia" w:ascii="仿宋_GB2312" w:hAnsi="仿宋_GB2312" w:eastAsia="仿宋_GB2312" w:cs="仿宋_GB2312"/>
          <w:bCs/>
          <w:color w:val="auto"/>
          <w:sz w:val="30"/>
          <w:szCs w:val="30"/>
          <w:lang w:val="en-US" w:eastAsia="zh-CN"/>
        </w:rPr>
        <w:t>6.入厂前需提交近1个月内的体检报告，存在重大疾病的不得在公司作业，存在职业禁忌的，不得从事与职业禁忌相关工作。</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7</w:t>
      </w:r>
      <w:r>
        <w:rPr>
          <w:rFonts w:hint="eastAsia" w:ascii="仿宋" w:hAnsi="仿宋" w:eastAsia="仿宋" w:cs="仿宋"/>
          <w:bCs/>
          <w:sz w:val="30"/>
          <w:szCs w:val="30"/>
          <w:lang w:eastAsia="zh-CN"/>
        </w:rPr>
        <w:t>.</w:t>
      </w:r>
      <w:r>
        <w:rPr>
          <w:rFonts w:hint="eastAsia" w:ascii="仿宋" w:hAnsi="仿宋" w:eastAsia="仿宋" w:cs="仿宋"/>
          <w:bCs/>
          <w:sz w:val="30"/>
          <w:szCs w:val="30"/>
        </w:rPr>
        <w:t>本次招标不接受联合体投标，本项目不得转包；</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）工作要求及性能要求</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双面</w:t>
      </w:r>
      <w:r>
        <w:rPr>
          <w:rFonts w:hint="eastAsia" w:ascii="仿宋" w:hAnsi="仿宋" w:eastAsia="仿宋" w:cs="仿宋"/>
          <w:sz w:val="30"/>
          <w:szCs w:val="30"/>
        </w:rPr>
        <w:t>轻质抗爆墙一般要求：</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1.1由专业承包商二次深化设计，承包商必须具有三级及以上总承包施工资质。 </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1.2抗爆墙体必须能提供国家重点实验室权威的抗爆性能检测报告。</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1.3墙体材料必须要有符合国家标准的合格证。</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1.4其他要求须满足14J938国家标准图集。</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2.轻质抗爆墙构造及性能要求：</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2.1抗爆墙执行GB 50779-2012 石油化工控制室抗爆设计规范、图集14J938 抗爆泄爆门窗及屋盖、墙体建筑构造。</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抗爆墙主龙骨与钢结构采用焊接形式，主结构采用型钢做龙骨固定，抗爆墙面采用双面9.5厚耐用钢纤维水泥复合板(0.5厚镀锌钢板+8.5厚强化纤维水泥+0.5厚镀锌钢板)。钢构件焊接处需进行除锈处理，质量等级不低于Sa2.0级，防腐采用环氧类漆一底两面，质量满足现行国家相关技术规范要求。</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2.3抗爆板具有坚固，抗冲击，隔火完整等特点，采用自攻自钻钉与龙骨连接。</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2.4抗爆板性能：</w:t>
      </w:r>
    </w:p>
    <w:p>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抗爆板物理性能需满足以下条件</w:t>
      </w:r>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厚度</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抗爆板9.5㎜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尺寸</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2400mm×1200mm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重量</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≤22KG/m</w:t>
            </w:r>
            <w:r>
              <w:rPr>
                <w:rFonts w:hint="eastAsia" w:ascii="仿宋" w:hAnsi="仿宋" w:eastAsia="仿宋" w:cs="仿宋"/>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抗折强度</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≧100N/mm</w:t>
            </w:r>
            <w:r>
              <w:rPr>
                <w:rFonts w:hint="eastAsia" w:ascii="仿宋" w:hAnsi="仿宋" w:eastAsia="仿宋" w:cs="仿宋"/>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不燃性</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A1不燃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石棉含量</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100%不含石棉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含水率</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弹性模量</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≥20000Mpa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表面装饰</w:t>
            </w:r>
          </w:p>
        </w:tc>
        <w:tc>
          <w:tcPr>
            <w:tcW w:w="6241" w:type="dxa"/>
          </w:tcPr>
          <w:p>
            <w:pPr>
              <w:pStyle w:val="3"/>
              <w:widowControl w:val="0"/>
              <w:numPr>
                <w:ilvl w:val="4"/>
                <w:numId w:val="0"/>
              </w:numPr>
              <w:tabs>
                <w:tab w:val="left" w:pos="1276"/>
              </w:tabs>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镀锌底漆＋面漆</w:t>
            </w: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3.抗爆墙材料除满足以上要求外，设计施工还应满足：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3.1装置所在区域气候环境，地震等对整体强度的要求；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3.2结构设计达到分段卸载要求和消防要求，拆卸维护方便，并符合现行规范；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3.3抗爆板的安装，应符合现行《建筑安装统一验收标准》中所规定的相关内容及标准，抗爆板板对接处连接缝小于0.5mm，采用耐火胶泥填充；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3.4抗爆墙与其他结构接口位置连接缝小于2mm；</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3.5抗爆墙安装过程必须在钢结构构件防腐施工完成，具备施工条件后进行；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3.6抗爆墙设计应确保墙内钢结构主柱、支撑完全满足不低于《国家建筑防火规范》及设计院结构建筑图的设计要求</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4.抗爆门构造及性能要求：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4.1在抗爆荷载的作用下，人员通道门应处于弹性状态，设备通道门可处于弹塑性状态，可正常开启；抗爆门要符合国家相关规范标准。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4.2门框与门扇之间应密封并采用自动闭门器，确保抗爆门正常开启和关闭。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5.抗爆涂层技术要求</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5.1抗爆涂层应为纯聚脲涂料，其性能应符合表1的规定</w:t>
      </w:r>
      <w:r>
        <w:rPr>
          <w:rFonts w:hint="eastAsia" w:ascii="仿宋" w:hAnsi="仿宋" w:eastAsia="仿宋" w:cs="仿宋"/>
          <w:sz w:val="30"/>
          <w:szCs w:val="30"/>
          <w:lang w:val="en-US" w:eastAsia="zh-CN"/>
        </w:rPr>
        <w:t>并提供权威机构出具测试报告</w:t>
      </w:r>
      <w:r>
        <w:rPr>
          <w:rFonts w:hint="eastAsia" w:ascii="仿宋" w:hAnsi="仿宋" w:eastAsia="仿宋" w:cs="仿宋"/>
          <w:sz w:val="30"/>
          <w:szCs w:val="30"/>
        </w:rPr>
        <w:t>。</w:t>
      </w:r>
    </w:p>
    <w:p>
      <w:pPr>
        <w:ind w:left="840"/>
        <w:jc w:val="center"/>
        <w:rPr>
          <w:rFonts w:hint="eastAsia" w:ascii="仿宋" w:hAnsi="仿宋" w:eastAsia="仿宋" w:cs="仿宋"/>
          <w:sz w:val="30"/>
          <w:szCs w:val="30"/>
        </w:rPr>
      </w:pPr>
      <w:r>
        <w:rPr>
          <w:rFonts w:hint="eastAsia" w:ascii="仿宋" w:hAnsi="仿宋" w:eastAsia="仿宋" w:cs="仿宋"/>
          <w:sz w:val="30"/>
          <w:szCs w:val="30"/>
        </w:rPr>
        <w:t>表1 抗爆涂层性能</w:t>
      </w: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8"/>
        <w:gridCol w:w="4856"/>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序号</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项目</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凝胶时间（s，25℃）</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2</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表干时间（s，25℃）</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3</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硬度（邵D）</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4</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拉伸强度（MPa）</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5</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屈服强度（MPa）</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6</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热处理  拉伸强度（MPa）</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 xml:space="preserve">      断裂伸长率（%）</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≥12</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7</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碱处理  拉伸强度（MPa）</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 xml:space="preserve">      断裂伸长率（%）</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≥12</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8</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酸处理  拉伸强度（MPa）</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 xml:space="preserve">      断裂伸长率（%）</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≥12</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9</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盐处理  拉伸强度（MPa）</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 xml:space="preserve">      断裂伸长率（%）</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≥12</w:t>
            </w:r>
          </w:p>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10</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断裂伸长率（%）</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11</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撕裂强度（N/mm）</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12</w:t>
            </w:r>
          </w:p>
        </w:tc>
        <w:tc>
          <w:tcPr>
            <w:tcW w:w="4856"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耐冲击性（kg·m）</w:t>
            </w:r>
          </w:p>
        </w:tc>
        <w:tc>
          <w:tcPr>
            <w:tcW w:w="2208" w:type="dxa"/>
            <w:shd w:val="clear" w:color="auto" w:fill="auto"/>
          </w:tcPr>
          <w:p>
            <w:pPr>
              <w:pStyle w:val="18"/>
              <w:ind w:firstLine="0" w:firstLineChars="0"/>
              <w:rPr>
                <w:rFonts w:hint="eastAsia" w:ascii="仿宋" w:hAnsi="仿宋" w:eastAsia="仿宋" w:cs="仿宋"/>
                <w:sz w:val="30"/>
                <w:szCs w:val="30"/>
              </w:rPr>
            </w:pPr>
            <w:r>
              <w:rPr>
                <w:rFonts w:hint="eastAsia" w:ascii="仿宋" w:hAnsi="仿宋" w:eastAsia="仿宋" w:cs="仿宋"/>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13</w:t>
            </w:r>
          </w:p>
        </w:tc>
        <w:tc>
          <w:tcPr>
            <w:tcW w:w="4856" w:type="dxa"/>
            <w:shd w:val="clear" w:color="auto" w:fill="auto"/>
          </w:tcPr>
          <w:p>
            <w:pPr>
              <w:pStyle w:val="18"/>
              <w:ind w:firstLine="0" w:firstLineChars="0"/>
              <w:jc w:val="left"/>
              <w:rPr>
                <w:rFonts w:hint="eastAsia" w:ascii="仿宋" w:hAnsi="仿宋" w:eastAsia="仿宋" w:cs="仿宋"/>
                <w:sz w:val="30"/>
                <w:szCs w:val="30"/>
              </w:rPr>
            </w:pPr>
            <w:r>
              <w:rPr>
                <w:rFonts w:hint="eastAsia" w:ascii="仿宋" w:hAnsi="仿宋" w:eastAsia="仿宋" w:cs="仿宋"/>
                <w:sz w:val="30"/>
                <w:szCs w:val="30"/>
              </w:rPr>
              <w:t>燃烧性能</w:t>
            </w:r>
          </w:p>
        </w:tc>
        <w:tc>
          <w:tcPr>
            <w:tcW w:w="2208" w:type="dxa"/>
            <w:shd w:val="clear" w:color="auto" w:fill="auto"/>
          </w:tcPr>
          <w:p>
            <w:pPr>
              <w:pStyle w:val="18"/>
              <w:ind w:firstLine="0" w:firstLineChars="0"/>
              <w:jc w:val="left"/>
              <w:rPr>
                <w:rFonts w:hint="eastAsia" w:ascii="仿宋" w:hAnsi="仿宋" w:eastAsia="仿宋" w:cs="仿宋"/>
                <w:sz w:val="30"/>
                <w:szCs w:val="30"/>
              </w:rPr>
            </w:pPr>
            <w:r>
              <w:rPr>
                <w:rFonts w:hint="eastAsia" w:ascii="仿宋" w:hAnsi="仿宋" w:eastAsia="仿宋" w:cs="仿宋"/>
                <w:sz w:val="30"/>
                <w:szCs w:val="30"/>
              </w:rPr>
              <w:t>B2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8" w:type="dxa"/>
            <w:shd w:val="clear" w:color="auto" w:fill="auto"/>
          </w:tcPr>
          <w:p>
            <w:pPr>
              <w:pStyle w:val="18"/>
              <w:ind w:firstLine="0" w:firstLineChars="0"/>
              <w:jc w:val="center"/>
              <w:rPr>
                <w:rFonts w:hint="eastAsia" w:ascii="仿宋" w:hAnsi="仿宋" w:eastAsia="仿宋" w:cs="仿宋"/>
                <w:sz w:val="30"/>
                <w:szCs w:val="30"/>
              </w:rPr>
            </w:pPr>
            <w:r>
              <w:rPr>
                <w:rFonts w:hint="eastAsia" w:ascii="仿宋" w:hAnsi="仿宋" w:eastAsia="仿宋" w:cs="仿宋"/>
                <w:sz w:val="30"/>
                <w:szCs w:val="30"/>
              </w:rPr>
              <w:t>14</w:t>
            </w:r>
          </w:p>
        </w:tc>
        <w:tc>
          <w:tcPr>
            <w:tcW w:w="4856" w:type="dxa"/>
            <w:shd w:val="clear" w:color="auto" w:fill="auto"/>
          </w:tcPr>
          <w:p>
            <w:pPr>
              <w:pStyle w:val="18"/>
              <w:ind w:firstLine="0" w:firstLineChars="0"/>
              <w:jc w:val="left"/>
              <w:rPr>
                <w:rFonts w:hint="eastAsia" w:ascii="仿宋" w:hAnsi="仿宋" w:eastAsia="仿宋" w:cs="仿宋"/>
                <w:sz w:val="30"/>
                <w:szCs w:val="30"/>
              </w:rPr>
            </w:pPr>
            <w:r>
              <w:rPr>
                <w:rFonts w:hint="eastAsia" w:ascii="仿宋" w:hAnsi="仿宋" w:eastAsia="仿宋" w:cs="仿宋"/>
                <w:sz w:val="30"/>
                <w:szCs w:val="30"/>
              </w:rPr>
              <w:t>与混凝土附着力（MPa）</w:t>
            </w:r>
          </w:p>
        </w:tc>
        <w:tc>
          <w:tcPr>
            <w:tcW w:w="2208" w:type="dxa"/>
            <w:shd w:val="clear" w:color="auto" w:fill="auto"/>
          </w:tcPr>
          <w:p>
            <w:pPr>
              <w:pStyle w:val="18"/>
              <w:ind w:firstLine="0" w:firstLineChars="0"/>
              <w:jc w:val="left"/>
              <w:rPr>
                <w:rFonts w:hint="eastAsia" w:ascii="仿宋" w:hAnsi="仿宋" w:eastAsia="仿宋" w:cs="仿宋"/>
                <w:sz w:val="30"/>
                <w:szCs w:val="30"/>
              </w:rPr>
            </w:pPr>
            <w:r>
              <w:rPr>
                <w:rFonts w:hint="eastAsia" w:ascii="仿宋" w:hAnsi="仿宋" w:eastAsia="仿宋" w:cs="仿宋"/>
                <w:sz w:val="30"/>
                <w:szCs w:val="30"/>
              </w:rPr>
              <w:t>≥2.0</w:t>
            </w:r>
          </w:p>
        </w:tc>
      </w:tr>
    </w:tbl>
    <w:p>
      <w:pPr>
        <w:pStyle w:val="18"/>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5.2投标单位应提供国家权威部门出具的抗爆涂层性能检测报告。</w:t>
      </w:r>
    </w:p>
    <w:p>
      <w:pPr>
        <w:pStyle w:val="18"/>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3</w:t>
      </w:r>
      <w:r>
        <w:rPr>
          <w:rFonts w:hint="eastAsia" w:ascii="仿宋" w:hAnsi="仿宋" w:eastAsia="仿宋" w:cs="仿宋"/>
          <w:sz w:val="30"/>
          <w:szCs w:val="30"/>
        </w:rPr>
        <w:t>投标单位应提供抗爆涂层有害物质限量检测报告。</w:t>
      </w:r>
    </w:p>
    <w:p>
      <w:pPr>
        <w:pStyle w:val="2"/>
        <w:keepNext w:val="0"/>
        <w:keepLines w:val="0"/>
        <w:pageBreakBefore w:val="0"/>
        <w:pBdr>
          <w:bottom w:val="none" w:color="auto" w:sz="0" w:space="0"/>
        </w:pBdr>
        <w:kinsoku/>
        <w:wordWrap/>
        <w:overflowPunct/>
        <w:topLinePunct w:val="0"/>
        <w:autoSpaceDE/>
        <w:autoSpaceDN/>
        <w:bidi w:val="0"/>
        <w:spacing w:before="0" w:after="0" w:line="600" w:lineRule="exact"/>
        <w:ind w:left="0" w:leftChars="0" w:right="0" w:rightChars="0" w:firstLine="600" w:firstLineChars="200"/>
        <w:textAlignment w:val="auto"/>
        <w:rPr>
          <w:rFonts w:hint="eastAsia" w:ascii="仿宋" w:hAnsi="仿宋" w:eastAsia="仿宋" w:cs="仿宋"/>
          <w:b w:val="0"/>
          <w:bCs w:val="0"/>
          <w:color w:val="auto"/>
          <w:kern w:val="2"/>
          <w:sz w:val="30"/>
          <w:szCs w:val="30"/>
          <w:lang w:eastAsia="zh-CN" w:bidi="ar-SA"/>
        </w:rPr>
      </w:pP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四</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sz w:val="30"/>
          <w:szCs w:val="30"/>
          <w:lang w:eastAsia="zh-CN"/>
        </w:rPr>
        <w:t xml:space="preserve"> </w:t>
      </w:r>
      <w:r>
        <w:rPr>
          <w:rFonts w:hint="eastAsia" w:ascii="仿宋" w:hAnsi="仿宋" w:eastAsia="仿宋" w:cs="仿宋"/>
          <w:b w:val="0"/>
          <w:bCs w:val="0"/>
          <w:color w:val="auto"/>
          <w:kern w:val="2"/>
          <w:sz w:val="30"/>
          <w:szCs w:val="30"/>
          <w:lang w:eastAsia="zh-CN" w:bidi="ar-SA"/>
        </w:rPr>
        <w:t>服务要求：</w:t>
      </w:r>
    </w:p>
    <w:p>
      <w:pPr>
        <w:pStyle w:val="2"/>
        <w:keepNext w:val="0"/>
        <w:keepLines w:val="0"/>
        <w:pageBreakBefore w:val="0"/>
        <w:pBdr>
          <w:bottom w:val="none" w:color="auto" w:sz="0" w:space="0"/>
        </w:pBdr>
        <w:kinsoku/>
        <w:wordWrap/>
        <w:overflowPunct/>
        <w:topLinePunct w:val="0"/>
        <w:autoSpaceDE/>
        <w:autoSpaceDN/>
        <w:bidi w:val="0"/>
        <w:spacing w:before="0" w:after="0" w:line="600" w:lineRule="exact"/>
        <w:ind w:left="0" w:leftChars="0" w:right="0" w:rightChars="0"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kern w:val="2"/>
          <w:sz w:val="30"/>
          <w:szCs w:val="30"/>
          <w:lang w:eastAsia="zh-CN" w:bidi="ar-SA"/>
        </w:rPr>
        <w:t>1.设施</w:t>
      </w:r>
      <w:r>
        <w:rPr>
          <w:rFonts w:hint="eastAsia" w:ascii="仿宋" w:hAnsi="仿宋" w:eastAsia="仿宋" w:cs="仿宋"/>
          <w:b w:val="0"/>
          <w:bCs w:val="0"/>
          <w:color w:val="auto"/>
          <w:sz w:val="30"/>
          <w:szCs w:val="30"/>
          <w:lang w:eastAsia="zh-CN"/>
        </w:rPr>
        <w:t>保修期：一年。不低于国家法定保修期限。</w:t>
      </w:r>
    </w:p>
    <w:p>
      <w:pPr>
        <w:pStyle w:val="2"/>
        <w:keepNext w:val="0"/>
        <w:keepLines w:val="0"/>
        <w:pageBreakBefore w:val="0"/>
        <w:pBdr>
          <w:bottom w:val="none" w:color="auto" w:sz="0" w:space="0"/>
        </w:pBdr>
        <w:kinsoku/>
        <w:wordWrap/>
        <w:overflowPunct/>
        <w:topLinePunct w:val="0"/>
        <w:autoSpaceDE/>
        <w:autoSpaceDN/>
        <w:bidi w:val="0"/>
        <w:spacing w:before="0" w:after="0" w:line="600" w:lineRule="exact"/>
        <w:ind w:left="0" w:leftChars="0" w:right="0" w:rightChars="0"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2.中标方应提供安装防爆等级所需的全部技术资料。</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）交货时间及工期：</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6</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30</w:t>
      </w:r>
      <w:r>
        <w:rPr>
          <w:rFonts w:hint="eastAsia" w:ascii="仿宋" w:hAnsi="仿宋" w:eastAsia="仿宋" w:cs="仿宋"/>
          <w:sz w:val="30"/>
          <w:szCs w:val="30"/>
          <w:highlight w:val="yellow"/>
        </w:rPr>
        <w:t>日</w:t>
      </w:r>
      <w:r>
        <w:rPr>
          <w:rFonts w:hint="eastAsia" w:ascii="仿宋" w:hAnsi="仿宋" w:eastAsia="仿宋" w:cs="仿宋"/>
          <w:sz w:val="30"/>
          <w:szCs w:val="30"/>
        </w:rPr>
        <w:t>前完成热电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楼抗爆改造工程；</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30</w:t>
      </w:r>
      <w:r>
        <w:rPr>
          <w:rFonts w:hint="eastAsia" w:ascii="仿宋" w:hAnsi="仿宋" w:eastAsia="仿宋" w:cs="仿宋"/>
          <w:sz w:val="30"/>
          <w:szCs w:val="30"/>
          <w:highlight w:val="yellow"/>
        </w:rPr>
        <w:t>日</w:t>
      </w:r>
      <w:r>
        <w:rPr>
          <w:rFonts w:hint="eastAsia" w:ascii="仿宋" w:hAnsi="仿宋" w:eastAsia="仿宋" w:cs="仿宋"/>
          <w:sz w:val="30"/>
          <w:szCs w:val="30"/>
        </w:rPr>
        <w:t>前完成相关内部验收和工程验收；</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8</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30</w:t>
      </w:r>
      <w:r>
        <w:rPr>
          <w:rFonts w:hint="eastAsia" w:ascii="仿宋" w:hAnsi="仿宋" w:eastAsia="仿宋" w:cs="仿宋"/>
          <w:sz w:val="30"/>
          <w:szCs w:val="30"/>
          <w:highlight w:val="yellow"/>
        </w:rPr>
        <w:t>日</w:t>
      </w:r>
      <w:r>
        <w:rPr>
          <w:rFonts w:hint="eastAsia" w:ascii="仿宋" w:hAnsi="仿宋" w:eastAsia="仿宋" w:cs="仿宋"/>
          <w:sz w:val="30"/>
          <w:szCs w:val="30"/>
        </w:rPr>
        <w:t>前完成外部专家相关验收工作。</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）付款方式：承兑。</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本合同为固定总价，中标人在完成合同约定范围内的工程量以及为完成该工程而实施的全部工作范围内，合同约定的工程价款不作任何调整。因设计变更而增加的合同外工作量，结算单价参照合同内单价结算。根据分阶段报价情况，项目开始施工后预付项目款35%，完成抗爆改造工程，整个项目完成并验收合格后付款60%，一年质保期满后付款5%。</w:t>
      </w:r>
      <w:r>
        <w:rPr>
          <w:rFonts w:hint="eastAsia" w:ascii="仿宋" w:hAnsi="仿宋" w:eastAsia="仿宋" w:cs="仿宋"/>
          <w:color w:val="000000" w:themeColor="text1"/>
          <w:sz w:val="30"/>
          <w:szCs w:val="30"/>
          <w:lang w:val="en-US" w:eastAsia="zh-CN"/>
          <w14:textFill>
            <w14:solidFill>
              <w14:schemeClr w14:val="tx1"/>
            </w14:solidFill>
          </w14:textFill>
        </w:rPr>
        <w:t>质保期满后</w:t>
      </w:r>
      <w:r>
        <w:rPr>
          <w:rFonts w:hint="eastAsia" w:ascii="仿宋" w:hAnsi="仿宋" w:eastAsia="仿宋" w:cs="仿宋"/>
          <w:sz w:val="30"/>
          <w:szCs w:val="30"/>
          <w:lang w:val="en-US" w:eastAsia="zh-CN"/>
        </w:rPr>
        <w:t>不影响中标方依照合同约定或法律规定的保修期限内履行工程保修义务。改造项目结束之后由业主方组织相关人员验收合格,经审计后开具增值税专用发票。</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如国家税率调整，按合同含税价格/（1+合同约定税率）*（1+国家规定的新税率）调整合同价格。</w:t>
      </w:r>
    </w:p>
    <w:p>
      <w:pPr>
        <w:keepNext w:val="0"/>
        <w:keepLines w:val="0"/>
        <w:pageBreakBefore w:val="0"/>
        <w:kinsoku/>
        <w:wordWrap/>
        <w:overflowPunct/>
        <w:topLinePunct w:val="0"/>
        <w:autoSpaceDE/>
        <w:autoSpaceDN/>
        <w:bidi w:val="0"/>
        <w:snapToGrid w:val="0"/>
        <w:spacing w:line="600" w:lineRule="exact"/>
        <w:ind w:left="0" w:leftChars="0" w:right="0" w:righ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四、投标文件内容：</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1.单位资质证明文件（需盖章）：营业执照和相应资质证明文件；</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2.投标授权委托人身份证复印件，授权委托人应提供有效授权委托书，授权委托书应加盖公章并经法定代表人签字。</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3.报价单（含税价，包含所有费用，注明税率）（报价部分须加盖公章）。</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4.提供</w:t>
      </w:r>
      <w:r>
        <w:rPr>
          <w:rFonts w:hint="eastAsia" w:ascii="仿宋" w:hAnsi="仿宋" w:eastAsia="仿宋" w:cs="仿宋"/>
          <w:sz w:val="30"/>
          <w:szCs w:val="30"/>
          <w:lang w:val="en-US" w:eastAsia="zh-CN"/>
        </w:rPr>
        <w:t>3</w:t>
      </w:r>
      <w:r>
        <w:rPr>
          <w:rFonts w:hint="eastAsia" w:ascii="仿宋" w:hAnsi="仿宋" w:eastAsia="仿宋" w:cs="仿宋"/>
          <w:sz w:val="30"/>
          <w:szCs w:val="30"/>
        </w:rPr>
        <w:t>个以上非抗爆建筑改抗爆建筑项目的设计及施工经验。</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投标书必须密封并加盖单位公章，否则无效。投标人应准备投标文件正本一份、副本一份，每套投标文件须清楚地标明“正本”或“副本”。若正本和副本不符，以正本为准；不能区分正、副本的投标文件，按废标处理。投标文件的正本应打印或用不褪色墨水书写，并由投标人的法定代表人或经正式授权的代表签字，如为授权代表签字的应附“法定代表人授权委托书”（原件），正本必须为原件，但投标人的相关资格证明文件可采用复印件。投标文件的副本可打印或用不褪色墨水书写，也可采用正本的复印件。投标文件不应有涂改、增删之处。</w:t>
      </w:r>
    </w:p>
    <w:p>
      <w:pPr>
        <w:keepNext w:val="0"/>
        <w:keepLines w:val="0"/>
        <w:pageBreakBefore w:val="0"/>
        <w:kinsoku/>
        <w:wordWrap/>
        <w:overflowPunct/>
        <w:topLinePunct w:val="0"/>
        <w:autoSpaceDE/>
        <w:autoSpaceDN/>
        <w:bidi w:val="0"/>
        <w:spacing w:line="600" w:lineRule="exact"/>
        <w:ind w:left="0" w:leftChars="0" w:right="0" w:rightChars="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五、评标依据</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满足招标文件所有要求的最低价中标。</w:t>
      </w:r>
    </w:p>
    <w:p>
      <w:pPr>
        <w:keepNext w:val="0"/>
        <w:keepLines w:val="0"/>
        <w:pageBreakBefore w:val="0"/>
        <w:kinsoku/>
        <w:wordWrap/>
        <w:overflowPunct/>
        <w:topLinePunct w:val="0"/>
        <w:autoSpaceDE/>
        <w:autoSpaceDN/>
        <w:bidi w:val="0"/>
        <w:spacing w:line="600" w:lineRule="exact"/>
        <w:ind w:left="0" w:leftChars="0" w:right="0" w:righ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六、开标、评标、流标及废标</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（一）开标</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本项目由招标人组织评标小组负责开标工作，对各投标人报价进行评标，确定最终中标人。</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1.请各投标人保持通讯畅通，便于评标小组在开标现场电话联系。</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2.评标小组不得泄露各投标人的报价。</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（二）评标</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在能够满足招标人技术要求及供货期要求的投标人中选择总投标价最低(其他投标人各分项报价作参考，需接受其他投标单位的分项最低价)的一家投标人作为中标候选人</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（三）流标</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招标人如发现招标过程中有串标、陪标等扰乱招标人经营秩序的恶劣情况，经招标人评标小组评定可作流标处理，并可将相关投标方列入供应商负面清单，不再接受参与投标工作。</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_GB2312" w:hAnsi="仿宋" w:eastAsia="仿宋_GB2312" w:cs="仿宋"/>
          <w:bCs/>
          <w:color w:val="auto"/>
          <w:kern w:val="1"/>
          <w:sz w:val="30"/>
          <w:szCs w:val="30"/>
        </w:rPr>
      </w:pPr>
      <w:r>
        <w:rPr>
          <w:rFonts w:hint="eastAsia" w:ascii="仿宋" w:hAnsi="仿宋" w:eastAsia="仿宋" w:cs="仿宋"/>
          <w:sz w:val="30"/>
          <w:szCs w:val="30"/>
        </w:rPr>
        <w:t>（四）废标</w:t>
      </w:r>
    </w:p>
    <w:p>
      <w:pPr>
        <w:adjustRightInd w:val="0"/>
        <w:snapToGrid w:val="0"/>
        <w:spacing w:line="360" w:lineRule="auto"/>
        <w:ind w:firstLine="600" w:firstLineChars="200"/>
        <w:jc w:val="left"/>
        <w:rPr>
          <w:rFonts w:hint="eastAsia" w:ascii="仿宋_GB2312" w:hAnsi="仿宋" w:eastAsia="仿宋_GB2312" w:cs="仿宋"/>
          <w:bCs/>
          <w:color w:val="auto"/>
          <w:kern w:val="1"/>
          <w:sz w:val="30"/>
          <w:szCs w:val="30"/>
        </w:rPr>
      </w:pPr>
      <w:r>
        <w:rPr>
          <w:rFonts w:hint="eastAsia" w:ascii="仿宋_GB2312" w:hAnsi="仿宋" w:eastAsia="仿宋_GB2312" w:cs="仿宋"/>
          <w:bCs/>
          <w:color w:val="auto"/>
          <w:kern w:val="1"/>
          <w:sz w:val="30"/>
          <w:szCs w:val="30"/>
        </w:rPr>
        <w:t>1.凡投标人不具备招标人明确要求资质的，或投标文件填写不完整、报价有空项的，或不符合技术要求条款的，或者存在其他不符合招标人有关要求的问题，经招标人评标小组评定，可作废标处理。</w:t>
      </w:r>
    </w:p>
    <w:p>
      <w:pPr>
        <w:adjustRightInd w:val="0"/>
        <w:snapToGrid w:val="0"/>
        <w:spacing w:line="360" w:lineRule="auto"/>
        <w:ind w:firstLine="600" w:firstLineChars="200"/>
        <w:jc w:val="left"/>
        <w:rPr>
          <w:rFonts w:hint="eastAsia" w:ascii="仿宋_GB2312" w:hAnsi="仿宋" w:eastAsia="仿宋_GB2312" w:cs="仿宋"/>
          <w:bCs/>
          <w:color w:val="auto"/>
          <w:kern w:val="1"/>
          <w:sz w:val="30"/>
          <w:szCs w:val="30"/>
        </w:rPr>
      </w:pPr>
      <w:r>
        <w:rPr>
          <w:rFonts w:hint="eastAsia" w:ascii="仿宋_GB2312" w:hAnsi="仿宋" w:eastAsia="仿宋_GB2312" w:cs="仿宋"/>
          <w:bCs/>
          <w:color w:val="auto"/>
          <w:kern w:val="1"/>
          <w:sz w:val="30"/>
          <w:szCs w:val="30"/>
        </w:rPr>
        <w:t>2.投标人应如实提供符合市场规律和自身成本的合理报价。如果投标人的报价与市场价格明显偏离并因此影响了招标活动的公正合理性，损害了招标人的正当利益，经招标人评标小组评定，可作废标处理。</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六、其他注意事项：　　</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（一）未经招标人允许，投标人不得以任何方式将本项目分包给第三方，否则按照本合同总价的10%作为违约金，同时招标人有权终止本合同。</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如中标人没有按照规定的时间交货或提供服务，中标人将支付违约金，违约金应从货款中扣除，迟交货物或未提供服务的违约金逾期每日应按合同总金额的1%计收。但迟交货物或未提供服务超过20日，招标人有权解除合同,要求中标人五个工作日内返还招标人合同货款并按合同总额20%追究出卖人违约责任。</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（三）中标人中标以后应严格按照标书约</w:t>
      </w:r>
      <w:r>
        <w:rPr>
          <w:rFonts w:hint="eastAsia" w:ascii="仿宋" w:hAnsi="仿宋" w:eastAsia="仿宋" w:cs="仿宋"/>
          <w:color w:val="auto"/>
          <w:sz w:val="30"/>
          <w:szCs w:val="30"/>
        </w:rPr>
        <w:t>定与招标方</w:t>
      </w:r>
      <w:r>
        <w:rPr>
          <w:rFonts w:hint="eastAsia" w:ascii="仿宋" w:hAnsi="仿宋" w:eastAsia="仿宋" w:cs="仿宋"/>
          <w:color w:val="auto"/>
          <w:sz w:val="30"/>
          <w:szCs w:val="30"/>
          <w:lang w:eastAsia="zh-CN"/>
        </w:rPr>
        <w:t>签订</w:t>
      </w:r>
      <w:r>
        <w:rPr>
          <w:rFonts w:hint="eastAsia" w:ascii="仿宋" w:hAnsi="仿宋" w:eastAsia="仿宋" w:cs="仿宋"/>
          <w:color w:val="auto"/>
          <w:sz w:val="30"/>
          <w:szCs w:val="30"/>
        </w:rPr>
        <w:t>供需合同，并按合同约定做好物资供应和服务工作。对中标人所有违背标书及合同约定的行为，招标人均可持续保留与中标方</w:t>
      </w:r>
      <w:r>
        <w:rPr>
          <w:rFonts w:hint="eastAsia" w:ascii="仿宋" w:hAnsi="仿宋" w:eastAsia="仿宋" w:cs="仿宋"/>
          <w:color w:val="auto"/>
          <w:sz w:val="30"/>
          <w:szCs w:val="30"/>
          <w:lang w:eastAsia="zh-CN"/>
        </w:rPr>
        <w:t>终止</w:t>
      </w:r>
      <w:r>
        <w:rPr>
          <w:rFonts w:hint="eastAsia" w:ascii="仿宋" w:hAnsi="仿宋" w:eastAsia="仿宋" w:cs="仿宋"/>
          <w:color w:val="auto"/>
          <w:sz w:val="30"/>
          <w:szCs w:val="30"/>
        </w:rPr>
        <w:t>合作的一切权利。　</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（四）如因投标人不能正常履约，对招标人生产经营活动造成影响的，将承担违约责任，列入招标人供应商负面清单；如严重影响招标人生产经营活动的，招标人将依法追究投标方法律责任。</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（五）投标人应详细阅读本招标书，参与报价投标即视为对本招标书所列之条款均表示接受。</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（六）招标人对违反约定的投标人或中标人将按《江苏索普化工股份有限公司供应商负面清单管理规定》对投标人进行管理考核（详见附件1）。</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（七）本次招标解释权归江苏索普化工股份有限公司</w:t>
      </w:r>
      <w:r>
        <w:rPr>
          <w:rFonts w:hint="eastAsia" w:ascii="仿宋" w:hAnsi="仿宋" w:eastAsia="仿宋" w:cs="仿宋"/>
          <w:sz w:val="30"/>
          <w:szCs w:val="30"/>
          <w:lang w:val="en-US" w:eastAsia="zh-CN"/>
        </w:rPr>
        <w:t>安全环境</w:t>
      </w:r>
      <w:r>
        <w:rPr>
          <w:rFonts w:hint="eastAsia" w:ascii="仿宋" w:hAnsi="仿宋" w:eastAsia="仿宋" w:cs="仿宋"/>
          <w:sz w:val="30"/>
          <w:szCs w:val="30"/>
        </w:rPr>
        <w:t>部所有；招标业务监督电话：0511-88995150、88995690。</w:t>
      </w:r>
    </w:p>
    <w:p>
      <w:pPr>
        <w:keepNext w:val="0"/>
        <w:keepLines w:val="0"/>
        <w:pageBreakBefore w:val="0"/>
        <w:kinsoku/>
        <w:wordWrap/>
        <w:overflowPunct/>
        <w:topLinePunct w:val="0"/>
        <w:autoSpaceDE/>
        <w:autoSpaceDN/>
        <w:bidi w:val="0"/>
        <w:snapToGrid w:val="0"/>
        <w:spacing w:line="600" w:lineRule="exact"/>
        <w:ind w:left="0" w:leftChars="0" w:right="0" w:righ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七、投标相关事宜、投标文件提交截止时间及开标时间：</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1.凡对招标文件条款有疑义的或需要现场查勘的或</w:t>
      </w:r>
      <w:r>
        <w:rPr>
          <w:rFonts w:hint="eastAsia" w:ascii="仿宋" w:hAnsi="仿宋" w:eastAsia="仿宋" w:cs="仿宋"/>
          <w:bCs/>
          <w:sz w:val="30"/>
          <w:szCs w:val="30"/>
        </w:rPr>
        <w:t>有关招标说明不能明确表述的</w:t>
      </w:r>
      <w:r>
        <w:rPr>
          <w:rFonts w:hint="eastAsia" w:ascii="仿宋" w:hAnsi="仿宋" w:eastAsia="仿宋" w:cs="仿宋"/>
          <w:sz w:val="30"/>
          <w:szCs w:val="30"/>
        </w:rPr>
        <w:t>，请在开标前按以下方式联系。</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联系人：方益宏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联系电话：13511691139 赵雪</w:t>
      </w:r>
      <w:r>
        <w:rPr>
          <w:rFonts w:hint="eastAsia" w:ascii="仿宋" w:hAnsi="仿宋" w:eastAsia="仿宋" w:cs="仿宋"/>
          <w:sz w:val="30"/>
          <w:szCs w:val="30"/>
          <w:lang w:val="en-US" w:eastAsia="zh-CN"/>
        </w:rPr>
        <w:t>锋</w:t>
      </w:r>
      <w:r>
        <w:rPr>
          <w:rFonts w:hint="eastAsia" w:ascii="仿宋" w:hAnsi="仿宋" w:eastAsia="仿宋" w:cs="仿宋"/>
          <w:sz w:val="30"/>
          <w:szCs w:val="30"/>
        </w:rPr>
        <w:t xml:space="preserve"> 联系电话：13906102082</w:t>
      </w:r>
    </w:p>
    <w:p>
      <w:pPr>
        <w:keepNext w:val="0"/>
        <w:keepLines w:val="0"/>
        <w:pageBreakBefore w:val="0"/>
        <w:kinsoku/>
        <w:wordWrap/>
        <w:overflowPunct/>
        <w:topLinePunct w:val="0"/>
        <w:autoSpaceDE/>
        <w:autoSpaceDN/>
        <w:bidi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2.请详细阅读本招标书，参与报价投标视为对本招标书所列之条款均表示接受认可。本次招标解释权归江苏索普化工股份有限公司安全环境部所有。</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3.招标截止时间：</w:t>
      </w:r>
      <w:r>
        <w:rPr>
          <w:rFonts w:hint="eastAsia" w:ascii="仿宋" w:hAnsi="仿宋" w:eastAsia="仿宋" w:cs="仿宋"/>
          <w:sz w:val="30"/>
          <w:szCs w:val="30"/>
          <w:highlight w:val="none"/>
          <w:u w:val="single"/>
          <w:lang w:val="en-US" w:eastAsia="zh-CN"/>
        </w:rPr>
        <w:t>2024</w:t>
      </w:r>
      <w:r>
        <w:rPr>
          <w:rFonts w:hint="eastAsia" w:ascii="仿宋" w:hAnsi="仿宋" w:eastAsia="仿宋" w:cs="仿宋"/>
          <w:sz w:val="30"/>
          <w:szCs w:val="30"/>
          <w:highlight w:val="none"/>
          <w:u w:val="single"/>
        </w:rPr>
        <w:t>年</w:t>
      </w:r>
      <w:r>
        <w:rPr>
          <w:rFonts w:hint="eastAsia" w:ascii="仿宋" w:hAnsi="仿宋" w:eastAsia="仿宋" w:cs="仿宋"/>
          <w:sz w:val="30"/>
          <w:szCs w:val="30"/>
          <w:highlight w:val="none"/>
          <w:u w:val="single"/>
          <w:lang w:val="en-US" w:eastAsia="zh-CN"/>
        </w:rPr>
        <w:t>5</w:t>
      </w:r>
      <w:r>
        <w:rPr>
          <w:rFonts w:hint="eastAsia" w:ascii="仿宋" w:hAnsi="仿宋" w:eastAsia="仿宋" w:cs="仿宋"/>
          <w:sz w:val="30"/>
          <w:szCs w:val="30"/>
          <w:highlight w:val="none"/>
          <w:u w:val="single"/>
        </w:rPr>
        <w:t xml:space="preserve">月 </w:t>
      </w:r>
      <w:r>
        <w:rPr>
          <w:rFonts w:hint="eastAsia" w:ascii="仿宋" w:hAnsi="仿宋" w:eastAsia="仿宋" w:cs="仿宋"/>
          <w:sz w:val="30"/>
          <w:szCs w:val="30"/>
          <w:highlight w:val="none"/>
          <w:u w:val="single"/>
          <w:lang w:val="en-US" w:eastAsia="zh-CN"/>
        </w:rPr>
        <w:t>29</w:t>
      </w:r>
      <w:r>
        <w:rPr>
          <w:rFonts w:hint="eastAsia" w:ascii="仿宋" w:hAnsi="仿宋" w:eastAsia="仿宋" w:cs="仿宋"/>
          <w:sz w:val="30"/>
          <w:szCs w:val="30"/>
          <w:highlight w:val="none"/>
          <w:u w:val="single"/>
        </w:rPr>
        <w:t>日</w:t>
      </w:r>
      <w:r>
        <w:rPr>
          <w:rFonts w:hint="eastAsia" w:ascii="仿宋" w:hAnsi="仿宋" w:eastAsia="仿宋" w:cs="仿宋"/>
          <w:sz w:val="30"/>
          <w:szCs w:val="30"/>
          <w:highlight w:val="none"/>
          <w:u w:val="single"/>
          <w:lang w:val="en-US" w:eastAsia="zh-CN"/>
        </w:rPr>
        <w:t>14：00</w:t>
      </w:r>
      <w:r>
        <w:rPr>
          <w:rFonts w:hint="eastAsia" w:ascii="仿宋" w:hAnsi="仿宋" w:eastAsia="仿宋" w:cs="仿宋"/>
          <w:sz w:val="30"/>
          <w:szCs w:val="30"/>
        </w:rPr>
        <w:t>时前密封送或邮递至：江苏镇江市京口区象山镇求索路101号。江苏索普化工股份有限公司安全环境部。</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联系人：赵雪</w:t>
      </w:r>
      <w:r>
        <w:rPr>
          <w:rFonts w:hint="eastAsia" w:ascii="仿宋" w:hAnsi="仿宋" w:eastAsia="仿宋" w:cs="仿宋"/>
          <w:sz w:val="30"/>
          <w:szCs w:val="30"/>
          <w:lang w:val="en-US" w:eastAsia="zh-CN"/>
        </w:rPr>
        <w:t>锋</w:t>
      </w:r>
      <w:r>
        <w:rPr>
          <w:rFonts w:hint="eastAsia" w:ascii="仿宋" w:hAnsi="仿宋" w:eastAsia="仿宋" w:cs="仿宋"/>
          <w:sz w:val="30"/>
          <w:szCs w:val="30"/>
        </w:rPr>
        <w:t>。联系电话：13906102082</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4.开标时间：</w:t>
      </w:r>
      <w:r>
        <w:rPr>
          <w:rFonts w:hint="eastAsia" w:ascii="仿宋" w:hAnsi="仿宋" w:eastAsia="仿宋" w:cs="仿宋"/>
          <w:sz w:val="30"/>
          <w:szCs w:val="30"/>
          <w:highlight w:val="none"/>
          <w:u w:val="single"/>
          <w:lang w:val="en-US" w:eastAsia="zh-CN"/>
        </w:rPr>
        <w:t>2024</w:t>
      </w:r>
      <w:r>
        <w:rPr>
          <w:rFonts w:hint="eastAsia" w:ascii="仿宋" w:hAnsi="仿宋" w:eastAsia="仿宋" w:cs="仿宋"/>
          <w:sz w:val="30"/>
          <w:szCs w:val="30"/>
          <w:highlight w:val="none"/>
          <w:u w:val="single"/>
        </w:rPr>
        <w:t>年</w:t>
      </w:r>
      <w:r>
        <w:rPr>
          <w:rFonts w:hint="eastAsia" w:ascii="仿宋" w:hAnsi="仿宋" w:eastAsia="仿宋" w:cs="仿宋"/>
          <w:sz w:val="30"/>
          <w:szCs w:val="30"/>
          <w:highlight w:val="none"/>
          <w:u w:val="single"/>
          <w:lang w:val="en-US" w:eastAsia="zh-CN"/>
        </w:rPr>
        <w:t>5</w:t>
      </w:r>
      <w:r>
        <w:rPr>
          <w:rFonts w:hint="eastAsia" w:ascii="仿宋" w:hAnsi="仿宋" w:eastAsia="仿宋" w:cs="仿宋"/>
          <w:sz w:val="30"/>
          <w:szCs w:val="30"/>
          <w:highlight w:val="none"/>
          <w:u w:val="single"/>
        </w:rPr>
        <w:t>月</w:t>
      </w:r>
      <w:r>
        <w:rPr>
          <w:rFonts w:hint="eastAsia" w:ascii="仿宋" w:hAnsi="仿宋" w:eastAsia="仿宋" w:cs="仿宋"/>
          <w:sz w:val="30"/>
          <w:szCs w:val="30"/>
          <w:highlight w:val="none"/>
          <w:u w:val="single"/>
          <w:lang w:val="en-US" w:eastAsia="zh-CN"/>
        </w:rPr>
        <w:t>29</w:t>
      </w:r>
      <w:bookmarkStart w:id="0" w:name="_GoBack"/>
      <w:bookmarkEnd w:id="0"/>
      <w:r>
        <w:rPr>
          <w:rFonts w:hint="eastAsia" w:ascii="仿宋" w:hAnsi="仿宋" w:eastAsia="仿宋" w:cs="仿宋"/>
          <w:sz w:val="30"/>
          <w:szCs w:val="30"/>
          <w:highlight w:val="none"/>
          <w:u w:val="single"/>
        </w:rPr>
        <w:t>日</w:t>
      </w:r>
      <w:r>
        <w:rPr>
          <w:rFonts w:hint="eastAsia" w:ascii="仿宋" w:hAnsi="仿宋" w:eastAsia="仿宋" w:cs="仿宋"/>
          <w:sz w:val="30"/>
          <w:szCs w:val="30"/>
          <w:highlight w:val="none"/>
          <w:u w:val="single"/>
          <w:lang w:val="en-US" w:eastAsia="zh-CN"/>
        </w:rPr>
        <w:t>14：00</w:t>
      </w:r>
      <w:r>
        <w:rPr>
          <w:rFonts w:hint="eastAsia" w:ascii="仿宋" w:hAnsi="仿宋" w:eastAsia="仿宋" w:cs="仿宋"/>
          <w:sz w:val="30"/>
          <w:szCs w:val="30"/>
          <w:highlight w:val="none"/>
        </w:rPr>
        <w:t>。</w:t>
      </w:r>
    </w:p>
    <w:p>
      <w:pPr>
        <w:keepNext w:val="0"/>
        <w:keepLines w:val="0"/>
        <w:pageBreakBefore w:val="0"/>
        <w:kinsoku/>
        <w:wordWrap/>
        <w:overflowPunct/>
        <w:topLinePunct w:val="0"/>
        <w:autoSpaceDE/>
        <w:autoSpaceDN/>
        <w:bidi w:val="0"/>
        <w:snapToGrid w:val="0"/>
        <w:spacing w:line="600" w:lineRule="exact"/>
        <w:ind w:left="0"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5.该招标文件的附件，与招标文件具有同等效力。</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仿宋" w:hAnsi="仿宋" w:eastAsia="仿宋" w:cs="仿宋"/>
          <w:bCs/>
          <w:sz w:val="30"/>
          <w:szCs w:val="30"/>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val="0"/>
          <w:sz w:val="30"/>
          <w:szCs w:val="30"/>
        </w:rPr>
      </w:pPr>
      <w:r>
        <w:rPr>
          <w:rFonts w:hint="eastAsia" w:ascii="仿宋" w:hAnsi="仿宋" w:eastAsia="仿宋" w:cs="仿宋"/>
          <w:b/>
          <w:bCs w:val="0"/>
          <w:sz w:val="30"/>
          <w:szCs w:val="30"/>
        </w:rPr>
        <w:t>报价单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项目名称：索普股份热电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楼抗爆改造项目</w:t>
      </w:r>
    </w:p>
    <w:tbl>
      <w:tblPr>
        <w:tblStyle w:val="10"/>
        <w:tblW w:w="6702" w:type="dxa"/>
        <w:jc w:val="center"/>
        <w:tblLayout w:type="fixed"/>
        <w:tblCellMar>
          <w:top w:w="0" w:type="dxa"/>
          <w:left w:w="108" w:type="dxa"/>
          <w:bottom w:w="0" w:type="dxa"/>
          <w:right w:w="108" w:type="dxa"/>
        </w:tblCellMar>
      </w:tblPr>
      <w:tblGrid>
        <w:gridCol w:w="2552"/>
        <w:gridCol w:w="2235"/>
        <w:gridCol w:w="865"/>
        <w:gridCol w:w="1050"/>
      </w:tblGrid>
      <w:tr>
        <w:tblPrEx>
          <w:tblCellMar>
            <w:top w:w="0" w:type="dxa"/>
            <w:left w:w="108" w:type="dxa"/>
            <w:bottom w:w="0" w:type="dxa"/>
            <w:right w:w="108" w:type="dxa"/>
          </w:tblCellMar>
        </w:tblPrEx>
        <w:trPr>
          <w:trHeight w:val="737" w:hRule="exac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bCs/>
                <w:kern w:val="1"/>
                <w:sz w:val="30"/>
                <w:szCs w:val="30"/>
              </w:rPr>
            </w:pPr>
            <w:r>
              <w:rPr>
                <w:rFonts w:hint="eastAsia" w:ascii="仿宋" w:hAnsi="仿宋" w:eastAsia="仿宋" w:cs="仿宋"/>
                <w:b/>
                <w:bCs/>
                <w:kern w:val="1"/>
                <w:sz w:val="30"/>
                <w:szCs w:val="30"/>
              </w:rPr>
              <w:t>项目名称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bCs/>
                <w:kern w:val="1"/>
                <w:sz w:val="30"/>
                <w:szCs w:val="30"/>
              </w:rPr>
            </w:pPr>
            <w:r>
              <w:rPr>
                <w:rFonts w:hint="eastAsia" w:ascii="仿宋" w:hAnsi="仿宋" w:eastAsia="仿宋" w:cs="仿宋"/>
                <w:b/>
                <w:bCs/>
                <w:kern w:val="1"/>
                <w:sz w:val="30"/>
                <w:szCs w:val="30"/>
              </w:rPr>
              <w:t>含税价（元）</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bCs/>
                <w:kern w:val="1"/>
                <w:sz w:val="30"/>
                <w:szCs w:val="30"/>
              </w:rPr>
            </w:pPr>
            <w:r>
              <w:rPr>
                <w:rFonts w:hint="eastAsia" w:ascii="仿宋" w:hAnsi="仿宋" w:eastAsia="仿宋" w:cs="仿宋"/>
                <w:b/>
                <w:bCs/>
                <w:kern w:val="1"/>
                <w:sz w:val="30"/>
                <w:szCs w:val="30"/>
              </w:rPr>
              <w:t>税率</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bCs/>
                <w:kern w:val="1"/>
                <w:sz w:val="30"/>
                <w:szCs w:val="30"/>
              </w:rPr>
            </w:pPr>
            <w:r>
              <w:rPr>
                <w:rFonts w:hint="eastAsia" w:ascii="仿宋" w:hAnsi="仿宋" w:eastAsia="仿宋" w:cs="仿宋"/>
                <w:b/>
                <w:bCs/>
                <w:kern w:val="1"/>
                <w:sz w:val="30"/>
                <w:szCs w:val="30"/>
              </w:rPr>
              <w:t>备注</w:t>
            </w:r>
          </w:p>
        </w:tc>
      </w:tr>
      <w:tr>
        <w:tblPrEx>
          <w:tblCellMar>
            <w:top w:w="0" w:type="dxa"/>
            <w:left w:w="108" w:type="dxa"/>
            <w:bottom w:w="0" w:type="dxa"/>
            <w:right w:w="108" w:type="dxa"/>
          </w:tblCellMar>
        </w:tblPrEx>
        <w:trPr>
          <w:trHeight w:val="2569" w:hRule="exac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kern w:val="1"/>
                <w:sz w:val="30"/>
                <w:szCs w:val="30"/>
              </w:rPr>
            </w:pPr>
            <w:r>
              <w:rPr>
                <w:rFonts w:hint="eastAsia" w:ascii="仿宋" w:hAnsi="仿宋" w:eastAsia="仿宋" w:cs="仿宋"/>
                <w:sz w:val="30"/>
                <w:szCs w:val="30"/>
              </w:rPr>
              <w:t>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w:t>
            </w:r>
            <w:r>
              <w:rPr>
                <w:rFonts w:hint="eastAsia" w:ascii="仿宋" w:hAnsi="仿宋" w:eastAsia="仿宋" w:cs="仿宋"/>
                <w:sz w:val="30"/>
                <w:szCs w:val="30"/>
                <w:lang w:val="en-US" w:eastAsia="zh-CN"/>
              </w:rPr>
              <w:t>抗爆改造工程</w:t>
            </w:r>
          </w:p>
        </w:tc>
        <w:tc>
          <w:tcPr>
            <w:tcW w:w="22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602" w:firstLineChars="200"/>
              <w:jc w:val="center"/>
              <w:rPr>
                <w:rFonts w:hint="eastAsia" w:ascii="仿宋" w:hAnsi="仿宋" w:eastAsia="仿宋" w:cs="仿宋"/>
                <w:b/>
                <w:bCs/>
                <w:kern w:val="1"/>
                <w:sz w:val="30"/>
                <w:szCs w:val="30"/>
              </w:rPr>
            </w:pP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602" w:firstLineChars="200"/>
              <w:jc w:val="center"/>
              <w:rPr>
                <w:rFonts w:hint="eastAsia" w:ascii="仿宋" w:hAnsi="仿宋" w:eastAsia="仿宋" w:cs="仿宋"/>
                <w:b/>
                <w:bCs/>
                <w:kern w:val="1"/>
                <w:sz w:val="30"/>
                <w:szCs w:val="3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602" w:firstLineChars="200"/>
              <w:jc w:val="center"/>
              <w:rPr>
                <w:rFonts w:hint="eastAsia" w:ascii="仿宋" w:hAnsi="仿宋" w:eastAsia="仿宋" w:cs="仿宋"/>
                <w:b/>
                <w:bCs/>
                <w:kern w:val="1"/>
                <w:sz w:val="30"/>
                <w:szCs w:val="30"/>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附</w:t>
      </w:r>
      <w:r>
        <w:rPr>
          <w:rFonts w:hint="eastAsia" w:ascii="仿宋" w:hAnsi="仿宋" w:eastAsia="仿宋" w:cs="仿宋"/>
          <w:sz w:val="30"/>
          <w:szCs w:val="30"/>
        </w:rPr>
        <w:t>热电</w:t>
      </w:r>
      <w:r>
        <w:rPr>
          <w:rFonts w:hint="eastAsia" w:ascii="仿宋" w:hAnsi="仿宋" w:eastAsia="仿宋" w:cs="仿宋"/>
          <w:sz w:val="30"/>
          <w:szCs w:val="30"/>
          <w:lang w:val="en-US" w:eastAsia="zh-CN"/>
        </w:rPr>
        <w:t>仪控</w:t>
      </w:r>
      <w:r>
        <w:rPr>
          <w:rFonts w:hint="eastAsia" w:ascii="仿宋" w:hAnsi="仿宋" w:eastAsia="仿宋" w:cs="仿宋"/>
          <w:sz w:val="30"/>
          <w:szCs w:val="30"/>
        </w:rPr>
        <w:t>楼的抗爆改造工程项目清单：</w:t>
      </w:r>
    </w:p>
    <w:tbl>
      <w:tblPr>
        <w:tblStyle w:val="10"/>
        <w:tblW w:w="8326" w:type="dxa"/>
        <w:tblInd w:w="0" w:type="dxa"/>
        <w:shd w:val="clear" w:color="auto" w:fill="auto"/>
        <w:tblLayout w:type="fixed"/>
        <w:tblCellMar>
          <w:top w:w="0" w:type="dxa"/>
          <w:left w:w="0" w:type="dxa"/>
          <w:bottom w:w="0" w:type="dxa"/>
          <w:right w:w="0" w:type="dxa"/>
        </w:tblCellMar>
      </w:tblPr>
      <w:tblGrid>
        <w:gridCol w:w="3914"/>
        <w:gridCol w:w="1385"/>
        <w:gridCol w:w="1384"/>
        <w:gridCol w:w="1643"/>
      </w:tblGrid>
      <w:tr>
        <w:tblPrEx>
          <w:shd w:val="clear" w:color="auto" w:fill="auto"/>
          <w:tblCellMar>
            <w:top w:w="0" w:type="dxa"/>
            <w:left w:w="0" w:type="dxa"/>
            <w:bottom w:w="0" w:type="dxa"/>
            <w:right w:w="0" w:type="dxa"/>
          </w:tblCellMar>
        </w:tblPrEx>
        <w:trPr>
          <w:trHeight w:val="44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数量</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备注</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结构分析及计算</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抗爆改造施工图设计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填充墙抗爆涂层加固</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542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包含墙面处理</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轻质抗爆墙</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207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轻质抗爆屋面</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双层抗爆板，SBS防水卷材</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抗爆门</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w:t>
            </w:r>
            <w:r>
              <w:rPr>
                <w:rFonts w:hint="eastAsia" w:ascii="仿宋" w:hAnsi="仿宋" w:eastAsia="仿宋" w:cs="仿宋"/>
                <w:sz w:val="30"/>
                <w:szCs w:val="30"/>
                <w:vertAlign w:val="superscript"/>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18.4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1.5x2.4（3樘）；0.9*2.1（4樘）</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隔离前室抗爆门互锁</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3个隔离前室</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抗爆阀</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墙面桥架处理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用抗爆板包裹处理</w:t>
            </w:r>
          </w:p>
        </w:tc>
      </w:tr>
      <w:tr>
        <w:tblPrEx>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土建与脚手架</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甲方招标单位负责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1.</w:t>
      </w:r>
      <w:r>
        <w:rPr>
          <w:rFonts w:hint="eastAsia" w:ascii="仿宋" w:hAnsi="仿宋" w:eastAsia="仿宋" w:cs="仿宋"/>
          <w:sz w:val="30"/>
          <w:szCs w:val="30"/>
        </w:rPr>
        <w:t>含税价包括所有费用，投标方在报价文件中提供报价明细，项目招标文</w:t>
      </w:r>
      <w:r>
        <w:rPr>
          <w:rFonts w:hint="eastAsia" w:ascii="仿宋" w:hAnsi="仿宋" w:eastAsia="仿宋" w:cs="仿宋"/>
          <w:color w:val="000000" w:themeColor="text1"/>
          <w:sz w:val="30"/>
          <w:szCs w:val="30"/>
          <w14:textFill>
            <w14:solidFill>
              <w14:schemeClr w14:val="tx1"/>
            </w14:solidFill>
          </w14:textFill>
        </w:rPr>
        <w:t>件招标</w:t>
      </w:r>
      <w:r>
        <w:rPr>
          <w:rFonts w:hint="eastAsia" w:ascii="仿宋" w:hAnsi="仿宋" w:eastAsia="仿宋" w:cs="仿宋"/>
          <w:sz w:val="30"/>
          <w:szCs w:val="30"/>
        </w:rPr>
        <w:t>方不再提供任何额外费用。超过招标文件以外的部分按照招标文件单价确定，报价文件中必须附单价报价。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rPr>
        <w:t>如国家税率调整，按合同含税价格/（1+合同约定税率）*（1+国家规定的新税率）调整合同价格</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rPr>
        <w:t>单位报价文件：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lang w:val="en-US" w:eastAsia="zh-CN" w:bidi="ar-SA"/>
        </w:rPr>
        <w:t>（一）</w:t>
      </w:r>
      <w:r>
        <w:rPr>
          <w:rFonts w:hint="eastAsia" w:ascii="仿宋" w:hAnsi="仿宋" w:eastAsia="仿宋" w:cs="仿宋"/>
          <w:sz w:val="30"/>
          <w:szCs w:val="30"/>
        </w:rPr>
        <w:t>改造内容：</w:t>
      </w:r>
      <w:r>
        <w:rPr>
          <w:rFonts w:hint="eastAsia" w:ascii="仿宋" w:hAnsi="仿宋" w:eastAsia="仿宋" w:cs="仿宋"/>
          <w:sz w:val="30"/>
          <w:szCs w:val="30"/>
          <w:lang w:val="en-US" w:eastAsia="zh-CN"/>
        </w:rPr>
        <w:t>热电仪控楼</w:t>
      </w:r>
      <w:r>
        <w:rPr>
          <w:rFonts w:hint="eastAsia" w:ascii="仿宋" w:hAnsi="仿宋" w:eastAsia="仿宋" w:cs="仿宋"/>
          <w:sz w:val="30"/>
          <w:szCs w:val="30"/>
        </w:rPr>
        <w:t>的抗爆改造工程项目清单：</w:t>
      </w:r>
    </w:p>
    <w:tbl>
      <w:tblPr>
        <w:tblStyle w:val="10"/>
        <w:tblW w:w="8326" w:type="dxa"/>
        <w:tblInd w:w="0" w:type="dxa"/>
        <w:shd w:val="clear" w:color="auto" w:fill="auto"/>
        <w:tblLayout w:type="fixed"/>
        <w:tblCellMar>
          <w:top w:w="0" w:type="dxa"/>
          <w:left w:w="0" w:type="dxa"/>
          <w:bottom w:w="0" w:type="dxa"/>
          <w:right w:w="0" w:type="dxa"/>
        </w:tblCellMar>
      </w:tblPr>
      <w:tblGrid>
        <w:gridCol w:w="3914"/>
        <w:gridCol w:w="1385"/>
        <w:gridCol w:w="1384"/>
        <w:gridCol w:w="1643"/>
      </w:tblGrid>
      <w:tr>
        <w:tblPrEx>
          <w:shd w:val="clear" w:color="auto" w:fill="auto"/>
          <w:tblCellMar>
            <w:top w:w="0" w:type="dxa"/>
            <w:left w:w="0" w:type="dxa"/>
            <w:bottom w:w="0" w:type="dxa"/>
            <w:right w:w="0" w:type="dxa"/>
          </w:tblCellMar>
        </w:tblPrEx>
        <w:trPr>
          <w:trHeight w:val="44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数量</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备注</w:t>
            </w: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结构分析及计算</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抗爆改造施工图设计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kern w:val="2"/>
                <w:sz w:val="30"/>
                <w:szCs w:val="30"/>
                <w:lang w:val="en-US" w:eastAsia="zh-CN" w:bidi="ar-SA"/>
              </w:rPr>
            </w:pPr>
          </w:p>
        </w:tc>
      </w:tr>
      <w:tr>
        <w:tblPrEx>
          <w:shd w:val="clear" w:color="auto" w:fill="auto"/>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填充墙抗爆涂层加固</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542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包含墙面处理</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轻质抗爆墙</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207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w:t>
            </w:r>
          </w:p>
        </w:tc>
      </w:tr>
      <w:tr>
        <w:tblPrEx>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轻质抗爆屋面</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30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双层抗爆板，SBS防水卷材</w:t>
            </w:r>
          </w:p>
        </w:tc>
      </w:tr>
      <w:tr>
        <w:tblPrEx>
          <w:shd w:val="clear" w:color="auto" w:fill="auto"/>
          <w:tblCellMar>
            <w:top w:w="0" w:type="dxa"/>
            <w:left w:w="0" w:type="dxa"/>
            <w:bottom w:w="0" w:type="dxa"/>
            <w:right w:w="0" w:type="dxa"/>
          </w:tblCellMar>
        </w:tblPrEx>
        <w:trPr>
          <w:trHeight w:val="32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抗爆门</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m2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18.4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500" w:lineRule="exact"/>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1.5x2.4（3樘）；0.9*2.1（4樘）</w:t>
            </w: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隔离前室抗爆门互锁</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3个隔离前室</w:t>
            </w: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抗爆阀</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lang w:val="en-US" w:eastAsia="zh-CN"/>
              </w:rPr>
            </w:pPr>
          </w:p>
        </w:tc>
      </w:tr>
      <w:tr>
        <w:tblPrEx>
          <w:shd w:val="clear" w:color="auto" w:fill="auto"/>
          <w:tblCellMar>
            <w:top w:w="0" w:type="dxa"/>
            <w:left w:w="0" w:type="dxa"/>
            <w:bottom w:w="0" w:type="dxa"/>
            <w:right w:w="0" w:type="dxa"/>
          </w:tblCellMar>
        </w:tblPrEx>
        <w:trPr>
          <w:trHeight w:val="300" w:hRule="atLeast"/>
        </w:trPr>
        <w:tc>
          <w:tcPr>
            <w:tcW w:w="3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墙面桥架处理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ind w:firstLine="600" w:firstLineChars="200"/>
              <w:jc w:val="left"/>
              <w:rPr>
                <w:rFonts w:hint="eastAsia" w:ascii="仿宋" w:hAnsi="仿宋" w:eastAsia="仿宋" w:cs="仿宋"/>
                <w:bCs/>
                <w:color w:val="auto"/>
                <w:kern w:val="1"/>
                <w:sz w:val="30"/>
                <w:szCs w:val="30"/>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Cs/>
          <w:color w:val="auto"/>
          <w:kern w:val="1"/>
          <w:sz w:val="30"/>
          <w:szCs w:val="30"/>
        </w:rPr>
      </w:pPr>
      <w:r>
        <w:rPr>
          <w:rFonts w:hint="eastAsia" w:ascii="仿宋" w:hAnsi="仿宋" w:eastAsia="仿宋" w:cs="仿宋"/>
          <w:color w:val="auto"/>
          <w:sz w:val="30"/>
          <w:szCs w:val="30"/>
          <w:shd w:val="clear" w:color="auto" w:fill="FFFFFF"/>
          <w:lang w:val="en-US" w:eastAsia="zh-CN"/>
        </w:rPr>
        <w:t>4</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我公司已详细审查全部自主公开招标文件，包括补充文件（如有）。我公司完全理解并同意放弃对这方面有不明及误解的</w:t>
      </w:r>
      <w:r>
        <w:rPr>
          <w:rFonts w:hint="eastAsia" w:ascii="仿宋" w:hAnsi="仿宋" w:eastAsia="仿宋" w:cs="仿宋"/>
          <w:color w:val="FF0000"/>
          <w:sz w:val="30"/>
          <w:szCs w:val="30"/>
          <w:shd w:val="clear" w:color="auto" w:fill="FFFFFF"/>
          <w:lang w:eastAsia="zh-CN"/>
        </w:rPr>
        <w:t>权利</w:t>
      </w:r>
      <w:r>
        <w:rPr>
          <w:rFonts w:hint="eastAsia" w:ascii="仿宋" w:hAnsi="仿宋" w:eastAsia="仿宋" w:cs="仿宋"/>
          <w:color w:val="auto"/>
          <w:sz w:val="30"/>
          <w:szCs w:val="30"/>
          <w:shd w:val="clear" w:color="auto" w:fill="FFFFFF"/>
        </w:rPr>
        <w:t>，同时完全接受自主公开招标文件所有条款。如果自主公开招标文件有相互矛盾之处，我公司同意按贵方的解释处理；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auto"/>
          <w:sz w:val="30"/>
          <w:szCs w:val="30"/>
          <w:shd w:val="clear" w:color="auto" w:fill="FFFFFF"/>
        </w:rPr>
      </w:pPr>
      <w:r>
        <w:rPr>
          <w:rFonts w:hint="eastAsia" w:ascii="仿宋" w:hAnsi="仿宋" w:eastAsia="仿宋" w:cs="仿宋"/>
          <w:bCs/>
          <w:color w:val="auto"/>
          <w:kern w:val="1"/>
          <w:sz w:val="30"/>
          <w:szCs w:val="30"/>
          <w:lang w:val="en-US" w:eastAsia="zh-CN"/>
        </w:rPr>
        <w:t>5</w:t>
      </w: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rPr>
        <w:t>我公司愿意向江苏索普化工股份有限公司提供任何与该项报价有关的数据、情况和技术资料，</w:t>
      </w:r>
      <w:r>
        <w:rPr>
          <w:rFonts w:hint="eastAsia" w:ascii="仿宋" w:hAnsi="仿宋" w:eastAsia="仿宋" w:cs="仿宋"/>
          <w:color w:val="auto"/>
          <w:sz w:val="30"/>
          <w:szCs w:val="30"/>
          <w:shd w:val="clear" w:color="auto" w:fill="FFFFFF"/>
        </w:rPr>
        <w:t>完全理解贵方不一定接受最低价的报价或收到的任何报价；</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 w:hAnsi="仿宋" w:eastAsia="仿宋" w:cs="仿宋"/>
          <w:color w:val="auto"/>
          <w:kern w:val="1"/>
          <w:sz w:val="30"/>
          <w:szCs w:val="30"/>
          <w:u w:val="single"/>
        </w:rPr>
      </w:pPr>
      <w:r>
        <w:rPr>
          <w:rFonts w:hint="eastAsia" w:ascii="仿宋" w:hAnsi="仿宋" w:eastAsia="仿宋" w:cs="仿宋"/>
          <w:bCs/>
          <w:color w:val="auto"/>
          <w:kern w:val="1"/>
          <w:sz w:val="30"/>
          <w:szCs w:val="30"/>
          <w:lang w:val="en-US" w:eastAsia="zh-CN"/>
        </w:rPr>
        <w:t>6</w:t>
      </w: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rPr>
        <w:t>对</w:t>
      </w:r>
      <w:r>
        <w:rPr>
          <w:rFonts w:hint="eastAsia" w:ascii="仿宋" w:hAnsi="仿宋" w:eastAsia="仿宋" w:cs="仿宋"/>
          <w:color w:val="auto"/>
          <w:sz w:val="30"/>
          <w:szCs w:val="30"/>
          <w:shd w:val="clear" w:color="auto" w:fill="FFFFFF"/>
        </w:rPr>
        <w:t>自主公开招标文件</w:t>
      </w:r>
      <w:r>
        <w:rPr>
          <w:rFonts w:hint="eastAsia" w:ascii="仿宋" w:hAnsi="仿宋" w:eastAsia="仿宋" w:cs="仿宋"/>
          <w:bCs/>
          <w:color w:val="auto"/>
          <w:kern w:val="1"/>
          <w:sz w:val="30"/>
          <w:szCs w:val="30"/>
        </w:rPr>
        <w:t>的不接受项：</w:t>
      </w:r>
      <w:r>
        <w:rPr>
          <w:rFonts w:hint="eastAsia" w:ascii="仿宋" w:hAnsi="仿宋" w:eastAsia="仿宋" w:cs="仿宋"/>
          <w:color w:val="auto"/>
          <w:kern w:val="1"/>
          <w:sz w:val="30"/>
          <w:szCs w:val="30"/>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0" w:firstLineChars="0"/>
        <w:textAlignment w:val="auto"/>
        <w:rPr>
          <w:rFonts w:hint="eastAsia" w:ascii="仿宋" w:hAnsi="仿宋" w:eastAsia="仿宋" w:cs="仿宋"/>
          <w:bCs/>
          <w:color w:val="auto"/>
          <w:kern w:val="1"/>
          <w:sz w:val="30"/>
          <w:szCs w:val="30"/>
        </w:rPr>
      </w:pPr>
      <w:r>
        <w:rPr>
          <w:rFonts w:hint="eastAsia" w:ascii="仿宋" w:hAnsi="仿宋" w:eastAsia="仿宋" w:cs="仿宋"/>
          <w:color w:val="auto"/>
          <w:kern w:val="1"/>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我公司郑重承诺：</w:t>
      </w:r>
      <w:r>
        <w:rPr>
          <w:rFonts w:hint="eastAsia" w:ascii="仿宋" w:hAnsi="仿宋" w:eastAsia="仿宋" w:cs="仿宋"/>
          <w:color w:val="auto"/>
          <w:kern w:val="1"/>
          <w:sz w:val="30"/>
          <w:szCs w:val="30"/>
        </w:rPr>
        <w:t>遵守</w:t>
      </w:r>
      <w:r>
        <w:rPr>
          <w:rFonts w:hint="eastAsia" w:ascii="仿宋" w:hAnsi="仿宋" w:eastAsia="仿宋" w:cs="仿宋"/>
          <w:bCs/>
          <w:color w:val="auto"/>
          <w:kern w:val="1"/>
          <w:sz w:val="30"/>
          <w:szCs w:val="30"/>
        </w:rPr>
        <w:t>江苏索普化工股份有限公司</w:t>
      </w:r>
      <w:r>
        <w:rPr>
          <w:rFonts w:hint="eastAsia" w:ascii="仿宋" w:hAnsi="仿宋" w:eastAsia="仿宋" w:cs="仿宋"/>
          <w:color w:val="auto"/>
          <w:sz w:val="30"/>
          <w:szCs w:val="30"/>
          <w:shd w:val="clear" w:color="auto" w:fill="FFFFFF"/>
        </w:rPr>
        <w:t>自主公开招标文件</w:t>
      </w:r>
      <w:r>
        <w:rPr>
          <w:rFonts w:hint="eastAsia" w:ascii="仿宋" w:hAnsi="仿宋" w:eastAsia="仿宋" w:cs="仿宋"/>
          <w:color w:val="auto"/>
          <w:kern w:val="1"/>
          <w:sz w:val="30"/>
          <w:szCs w:val="30"/>
        </w:rPr>
        <w:t>中的全部规定，</w:t>
      </w:r>
      <w:r>
        <w:rPr>
          <w:rFonts w:hint="eastAsia" w:ascii="仿宋" w:hAnsi="仿宋" w:eastAsia="仿宋" w:cs="仿宋"/>
          <w:bCs/>
          <w:color w:val="auto"/>
          <w:kern w:val="1"/>
          <w:sz w:val="30"/>
          <w:szCs w:val="30"/>
        </w:rPr>
        <w:t>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jc w:val="both"/>
        <w:rPr>
          <w:rFonts w:hint="eastAsia" w:ascii="仿宋" w:hAnsi="仿宋" w:eastAsia="仿宋" w:cs="仿宋"/>
          <w:sz w:val="34"/>
          <w:szCs w:val="34"/>
        </w:rPr>
      </w:pPr>
    </w:p>
    <w:p>
      <w:pPr>
        <w:jc w:val="both"/>
        <w:rPr>
          <w:rFonts w:ascii="仿宋" w:hAnsi="仿宋" w:eastAsia="仿宋" w:cs="仿宋"/>
          <w:sz w:val="34"/>
          <w:szCs w:val="34"/>
        </w:rPr>
      </w:pPr>
      <w:r>
        <w:rPr>
          <w:rFonts w:hint="eastAsia" w:ascii="仿宋" w:hAnsi="仿宋" w:eastAsia="仿宋" w:cs="仿宋"/>
          <w:sz w:val="34"/>
          <w:szCs w:val="34"/>
        </w:rPr>
        <w:t>投标单位名称（盖章）：</w:t>
      </w:r>
    </w:p>
    <w:p>
      <w:pPr>
        <w:rPr>
          <w:rFonts w:hint="eastAsia" w:ascii="仿宋" w:hAnsi="仿宋" w:eastAsia="仿宋" w:cs="仿宋"/>
          <w:sz w:val="34"/>
          <w:szCs w:val="34"/>
        </w:rPr>
      </w:pPr>
      <w:r>
        <w:rPr>
          <w:rFonts w:hint="eastAsia" w:ascii="仿宋" w:hAnsi="仿宋" w:eastAsia="仿宋" w:cs="仿宋"/>
          <w:sz w:val="34"/>
          <w:szCs w:val="34"/>
        </w:rPr>
        <w:t>投标单位法人（或代理人）</w:t>
      </w: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 xml:space="preserve">签名： </w:t>
      </w:r>
    </w:p>
    <w:p>
      <w:pPr>
        <w:rPr>
          <w:rFonts w:ascii="仿宋" w:hAnsi="仿宋" w:eastAsia="仿宋" w:cs="仿宋"/>
          <w:sz w:val="34"/>
          <w:szCs w:val="34"/>
        </w:rPr>
      </w:pPr>
      <w:r>
        <w:rPr>
          <w:rFonts w:hint="eastAsia" w:ascii="仿宋" w:hAnsi="仿宋" w:eastAsia="仿宋" w:cs="仿宋"/>
          <w:sz w:val="34"/>
          <w:szCs w:val="34"/>
        </w:rPr>
        <w:t>联系电话：</w:t>
      </w:r>
    </w:p>
    <w:p>
      <w:pPr>
        <w:rPr>
          <w:rFonts w:ascii="仿宋" w:hAnsi="仿宋" w:eastAsia="仿宋" w:cs="仿宋"/>
          <w:bCs/>
          <w:sz w:val="28"/>
          <w:szCs w:val="28"/>
        </w:rPr>
      </w:pPr>
      <w:r>
        <w:rPr>
          <w:rFonts w:hint="eastAsia" w:ascii="仿宋" w:hAnsi="仿宋" w:eastAsia="仿宋"/>
          <w:sz w:val="28"/>
          <w:szCs w:val="28"/>
        </w:rPr>
        <w:t>日    期：</w:t>
      </w:r>
    </w:p>
    <w:p>
      <w:pPr>
        <w:tabs>
          <w:tab w:val="left" w:pos="2565"/>
        </w:tabs>
        <w:spacing w:line="600" w:lineRule="exact"/>
        <w:jc w:val="center"/>
        <w:rPr>
          <w:rFonts w:hint="eastAsia" w:ascii="方正小标宋简体" w:hAnsi="楷体" w:eastAsia="方正小标宋简体"/>
          <w:b/>
          <w:sz w:val="44"/>
          <w:szCs w:val="44"/>
        </w:rPr>
      </w:pPr>
      <w:r>
        <w:rPr>
          <w:rFonts w:hint="eastAsia" w:ascii="方正小标宋简体" w:hAnsi="黑体" w:eastAsia="方正小标宋简体"/>
          <w:b/>
          <w:sz w:val="44"/>
          <w:szCs w:val="44"/>
        </w:rPr>
        <w:t>供应商负面清单管理</w:t>
      </w:r>
    </w:p>
    <w:p>
      <w:pPr>
        <w:tabs>
          <w:tab w:val="left" w:pos="2565"/>
        </w:tabs>
        <w:spacing w:line="600" w:lineRule="exact"/>
        <w:ind w:firstLine="680" w:firstLineChars="200"/>
        <w:rPr>
          <w:rFonts w:hint="eastAsia" w:ascii="仿宋_GB2312" w:hAnsi="仿宋" w:eastAsia="仿宋_GB2312"/>
          <w:sz w:val="34"/>
          <w:szCs w:val="34"/>
        </w:rPr>
      </w:pPr>
    </w:p>
    <w:p>
      <w:pPr>
        <w:tabs>
          <w:tab w:val="left" w:pos="2565"/>
        </w:tabs>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凡按国家标准及相关准则或规定组织生产销售的原辅材料、备品备件、劳保用品等物资供应商以及运输等服务商，资质证照齐全且满足公司招标要求，均视为合格供应商，可参与公司组织的招投标、比价采购等商务活动。</w:t>
      </w:r>
    </w:p>
    <w:p>
      <w:pPr>
        <w:tabs>
          <w:tab w:val="left" w:pos="2565"/>
        </w:tabs>
        <w:spacing w:line="600" w:lineRule="exact"/>
        <w:ind w:firstLine="683" w:firstLineChars="200"/>
        <w:rPr>
          <w:rFonts w:hint="eastAsia" w:ascii="黑体" w:hAnsi="黑体" w:eastAsia="黑体"/>
          <w:sz w:val="34"/>
          <w:szCs w:val="34"/>
        </w:rPr>
      </w:pPr>
      <w:r>
        <w:rPr>
          <w:rFonts w:hint="eastAsia" w:ascii="黑体" w:hAnsi="黑体" w:eastAsia="黑体"/>
          <w:b/>
          <w:sz w:val="34"/>
          <w:szCs w:val="34"/>
        </w:rPr>
        <w:t>一、</w:t>
      </w:r>
      <w:r>
        <w:rPr>
          <w:rFonts w:hint="eastAsia" w:ascii="黑体" w:hAnsi="黑体" w:eastAsia="黑体"/>
          <w:sz w:val="34"/>
          <w:szCs w:val="34"/>
        </w:rPr>
        <w:t>供应商负面清单管理</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（一）管理职责</w:t>
      </w:r>
    </w:p>
    <w:p>
      <w:pPr>
        <w:spacing w:line="600" w:lineRule="exact"/>
        <w:ind w:firstLine="683" w:firstLineChars="200"/>
        <w:rPr>
          <w:rFonts w:ascii="仿宋_GB2312" w:hAnsi="仿宋" w:eastAsia="仿宋_GB2312"/>
          <w:sz w:val="34"/>
          <w:szCs w:val="34"/>
        </w:rPr>
      </w:pPr>
      <w:r>
        <w:rPr>
          <w:rFonts w:hint="eastAsia" w:ascii="仿宋_GB2312" w:hAnsi="仿宋" w:eastAsia="仿宋_GB2312"/>
          <w:b/>
          <w:bCs/>
          <w:sz w:val="34"/>
          <w:szCs w:val="34"/>
        </w:rPr>
        <w:t>1.</w:t>
      </w:r>
      <w:r>
        <w:rPr>
          <w:rFonts w:hint="eastAsia" w:ascii="仿宋_GB2312" w:hAnsi="仿宋" w:eastAsia="仿宋_GB2312"/>
          <w:bCs/>
          <w:sz w:val="34"/>
          <w:szCs w:val="34"/>
        </w:rPr>
        <w:t>使用部门负责</w:t>
      </w:r>
      <w:r>
        <w:rPr>
          <w:rFonts w:hint="eastAsia" w:ascii="仿宋_GB2312" w:hAnsi="仿宋" w:eastAsia="仿宋_GB2312"/>
          <w:sz w:val="34"/>
          <w:szCs w:val="34"/>
        </w:rPr>
        <w:t>提供技术参数或提出服务要求，对采购物资或服务的质量进行验收，对供应商所供货物在使用效果、产品质量、服务质量等方面进行评价。</w:t>
      </w:r>
    </w:p>
    <w:p>
      <w:pPr>
        <w:spacing w:line="600" w:lineRule="exact"/>
        <w:ind w:firstLine="683" w:firstLineChars="200"/>
        <w:rPr>
          <w:rFonts w:ascii="仿宋_GB2312" w:hAnsi="仿宋" w:eastAsia="仿宋_GB2312"/>
          <w:sz w:val="34"/>
          <w:szCs w:val="34"/>
        </w:rPr>
      </w:pPr>
      <w:r>
        <w:rPr>
          <w:rFonts w:hint="eastAsia" w:ascii="仿宋_GB2312" w:hAnsi="仿宋" w:eastAsia="仿宋_GB2312"/>
          <w:b/>
          <w:bCs/>
          <w:sz w:val="34"/>
          <w:szCs w:val="34"/>
        </w:rPr>
        <w:t>2.</w:t>
      </w:r>
      <w:r>
        <w:rPr>
          <w:rFonts w:hint="eastAsia" w:ascii="仿宋_GB2312" w:hAnsi="仿宋" w:eastAsia="仿宋_GB2312"/>
          <w:bCs/>
          <w:sz w:val="34"/>
          <w:szCs w:val="34"/>
        </w:rPr>
        <w:t>专业管理部门负责</w:t>
      </w:r>
      <w:r>
        <w:rPr>
          <w:rFonts w:hint="eastAsia" w:ascii="仿宋_GB2312" w:hAnsi="仿宋" w:eastAsia="仿宋_GB2312"/>
          <w:sz w:val="34"/>
          <w:szCs w:val="34"/>
        </w:rPr>
        <w:t>监管使用过程，对标的物样品或试供原料的质量进行检验，判定其是否符合公司所需的技术要求。</w:t>
      </w:r>
    </w:p>
    <w:p>
      <w:pPr>
        <w:spacing w:line="600" w:lineRule="exact"/>
        <w:ind w:firstLine="683" w:firstLineChars="200"/>
        <w:rPr>
          <w:rFonts w:ascii="仿宋_GB2312" w:hAnsi="仿宋" w:eastAsia="仿宋_GB2312"/>
          <w:sz w:val="34"/>
          <w:szCs w:val="34"/>
        </w:rPr>
      </w:pPr>
      <w:r>
        <w:rPr>
          <w:rFonts w:hint="eastAsia" w:ascii="仿宋_GB2312" w:hAnsi="仿宋" w:eastAsia="仿宋_GB2312"/>
          <w:b/>
          <w:bCs/>
          <w:sz w:val="34"/>
          <w:szCs w:val="34"/>
        </w:rPr>
        <w:t>3.</w:t>
      </w:r>
      <w:r>
        <w:rPr>
          <w:rFonts w:hint="eastAsia" w:ascii="仿宋_GB2312" w:hAnsi="仿宋" w:eastAsia="仿宋_GB2312"/>
          <w:bCs/>
          <w:sz w:val="34"/>
          <w:szCs w:val="34"/>
        </w:rPr>
        <w:t>供应保障部负责</w:t>
      </w:r>
      <w:r>
        <w:rPr>
          <w:rFonts w:hint="eastAsia" w:ascii="仿宋_GB2312" w:hAnsi="仿宋" w:eastAsia="仿宋_GB2312"/>
          <w:sz w:val="34"/>
          <w:szCs w:val="34"/>
        </w:rPr>
        <w:t>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3" w:firstLineChars="200"/>
        <w:rPr>
          <w:rFonts w:ascii="仿宋" w:hAnsi="仿宋" w:eastAsia="仿宋"/>
          <w:sz w:val="34"/>
          <w:szCs w:val="34"/>
        </w:rPr>
      </w:pPr>
      <w:r>
        <w:rPr>
          <w:rFonts w:hint="eastAsia" w:ascii="仿宋_GB2312" w:hAnsi="仿宋" w:eastAsia="仿宋_GB2312"/>
          <w:b/>
          <w:bCs/>
          <w:sz w:val="34"/>
          <w:szCs w:val="34"/>
        </w:rPr>
        <w:t>4.</w:t>
      </w:r>
      <w:r>
        <w:rPr>
          <w:rFonts w:hint="eastAsia" w:ascii="仿宋_GB2312" w:hAnsi="仿宋" w:eastAsia="仿宋_GB2312"/>
          <w:bCs/>
          <w:sz w:val="34"/>
          <w:szCs w:val="34"/>
        </w:rPr>
        <w:t>风险控制部</w:t>
      </w:r>
      <w:r>
        <w:rPr>
          <w:rFonts w:hint="eastAsia" w:ascii="仿宋_GB2312" w:hAnsi="仿宋" w:eastAsia="仿宋_GB2312"/>
          <w:sz w:val="34"/>
          <w:szCs w:val="34"/>
        </w:rPr>
        <w:t>负责对采购流程的合规性进行监督。</w:t>
      </w:r>
    </w:p>
    <w:p>
      <w:pPr>
        <w:spacing w:line="600" w:lineRule="exact"/>
        <w:ind w:firstLine="680" w:firstLineChars="200"/>
        <w:rPr>
          <w:rFonts w:hint="eastAsia" w:ascii="楷体" w:hAnsi="楷体" w:eastAsia="楷体"/>
          <w:bCs/>
          <w:sz w:val="34"/>
          <w:szCs w:val="34"/>
        </w:rPr>
      </w:pPr>
      <w:r>
        <w:rPr>
          <w:rFonts w:hint="eastAsia" w:ascii="楷体" w:hAnsi="楷体" w:eastAsia="楷体"/>
          <w:bCs/>
          <w:sz w:val="34"/>
          <w:szCs w:val="34"/>
        </w:rPr>
        <w:t>（二）供应商负面清单确定流程</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由供应保障部负责供应商负面清单管理，其他职能部门在招标过程中产生的供应商考核意见应报供应保障部统一管理。</w:t>
      </w:r>
    </w:p>
    <w:p>
      <w:pPr>
        <w:pStyle w:val="4"/>
        <w:spacing w:line="600" w:lineRule="exact"/>
        <w:rPr>
          <w:rFonts w:hint="eastAsia"/>
        </w:rPr>
      </w:pPr>
    </w:p>
    <w:p>
      <w:pPr>
        <w:pStyle w:val="4"/>
        <w:spacing w:line="600" w:lineRule="exact"/>
        <w:rPr>
          <w:rFonts w:hint="eastAsia"/>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340995</wp:posOffset>
            </wp:positionV>
            <wp:extent cx="5267325" cy="60960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t="2280"/>
                    <a:stretch>
                      <a:fillRect/>
                    </a:stretch>
                  </pic:blipFill>
                  <pic:spPr>
                    <a:xfrm>
                      <a:off x="0" y="0"/>
                      <a:ext cx="5267325" cy="6096000"/>
                    </a:xfrm>
                    <a:prstGeom prst="rect">
                      <a:avLst/>
                    </a:prstGeom>
                    <a:noFill/>
                    <a:ln w="9525">
                      <a:noFill/>
                      <a:miter/>
                    </a:ln>
                  </pic:spPr>
                </pic:pic>
              </a:graphicData>
            </a:graphic>
          </wp:anchor>
        </w:drawing>
      </w: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tabs>
          <w:tab w:val="left" w:pos="2565"/>
        </w:tabs>
        <w:spacing w:line="600" w:lineRule="exact"/>
        <w:ind w:firstLine="683" w:firstLineChars="200"/>
        <w:rPr>
          <w:rFonts w:hint="eastAsia" w:ascii="仿宋_GB2312" w:hAnsi="楷体" w:eastAsia="仿宋_GB2312"/>
          <w:b/>
          <w:sz w:val="34"/>
          <w:szCs w:val="34"/>
        </w:rPr>
      </w:pPr>
    </w:p>
    <w:p>
      <w:pPr>
        <w:tabs>
          <w:tab w:val="left" w:pos="2565"/>
        </w:tabs>
        <w:spacing w:line="600" w:lineRule="exact"/>
        <w:ind w:firstLine="683" w:firstLineChars="200"/>
        <w:rPr>
          <w:rFonts w:hint="eastAsia" w:ascii="仿宋_GB2312" w:hAnsi="楷体" w:eastAsia="仿宋_GB2312"/>
          <w:b/>
          <w:sz w:val="34"/>
          <w:szCs w:val="34"/>
        </w:rPr>
      </w:pPr>
    </w:p>
    <w:p>
      <w:pPr>
        <w:tabs>
          <w:tab w:val="left" w:pos="2565"/>
        </w:tabs>
        <w:spacing w:line="600" w:lineRule="exact"/>
        <w:ind w:firstLine="683"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3"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1.继续合作供应商：</w:t>
      </w:r>
      <w:r>
        <w:rPr>
          <w:rFonts w:hint="eastAsia" w:ascii="仿宋_GB2312" w:hAnsi="仿宋_GB2312" w:eastAsia="仿宋_GB2312" w:cs="仿宋_GB2312"/>
          <w:bCs/>
          <w:sz w:val="34"/>
          <w:szCs w:val="34"/>
        </w:rPr>
        <w:t>考核扣分介于0</w:t>
      </w:r>
      <w:r>
        <w:rPr>
          <w:rFonts w:hint="eastAsia" w:ascii="仿宋_GB2312" w:hAnsi="宋体" w:eastAsia="仿宋_GB2312" w:cs="宋体"/>
          <w:sz w:val="34"/>
          <w:szCs w:val="34"/>
        </w:rPr>
        <w:t>～9</w:t>
      </w:r>
      <w:r>
        <w:rPr>
          <w:rFonts w:hint="eastAsia" w:ascii="仿宋_GB2312" w:hAnsi="仿宋_GB2312" w:eastAsia="仿宋_GB2312" w:cs="仿宋_GB2312"/>
          <w:bCs/>
          <w:sz w:val="34"/>
          <w:szCs w:val="34"/>
        </w:rPr>
        <w:t>分之间，为可继续合作的供应商。</w:t>
      </w:r>
    </w:p>
    <w:p>
      <w:pPr>
        <w:spacing w:line="600" w:lineRule="exact"/>
        <w:ind w:firstLine="683"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2.列入负面清单供应商：</w:t>
      </w:r>
      <w:r>
        <w:rPr>
          <w:rFonts w:hint="eastAsia" w:ascii="仿宋_GB2312" w:hAnsi="仿宋_GB2312" w:eastAsia="仿宋_GB2312" w:cs="仿宋_GB2312"/>
          <w:bCs/>
          <w:sz w:val="34"/>
          <w:szCs w:val="34"/>
        </w:rPr>
        <w:t>考核扣分10分及以上的，列入负面清单供应商，1年内不接受该供应商投标或报价。</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（四）供应商考核方法</w:t>
      </w:r>
    </w:p>
    <w:p>
      <w:pPr>
        <w:spacing w:line="600" w:lineRule="exact"/>
        <w:ind w:firstLine="683"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1.质量方面</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3"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2.交货方面</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3"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3"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4.资信方面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（6）违反廉洁协议，每次扣10分。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（7）因知识产权引起纠纷，每次扣10分。</w:t>
      </w:r>
    </w:p>
    <w:p>
      <w:pPr>
        <w:spacing w:line="600" w:lineRule="exact"/>
        <w:ind w:left="68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5.其他方面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p>
    <w:p>
      <w:pPr>
        <w:spacing w:line="600" w:lineRule="exact"/>
        <w:ind w:firstLine="683" w:firstLineChars="200"/>
        <w:rPr>
          <w:rFonts w:hint="eastAsia" w:ascii="黑体" w:hAnsi="黑体" w:eastAsia="黑体"/>
          <w:b/>
          <w:sz w:val="34"/>
          <w:szCs w:val="34"/>
        </w:rPr>
      </w:pPr>
      <w:r>
        <w:rPr>
          <w:rFonts w:hint="eastAsia" w:ascii="黑体" w:hAnsi="黑体" w:eastAsia="黑体"/>
          <w:b/>
          <w:sz w:val="34"/>
          <w:szCs w:val="34"/>
        </w:rPr>
        <w:t>二、</w:t>
      </w:r>
      <w:r>
        <w:rPr>
          <w:rFonts w:hint="eastAsia" w:ascii="黑体" w:hAnsi="黑体" w:eastAsia="黑体" w:cs="仿宋"/>
          <w:color w:val="auto"/>
          <w:sz w:val="34"/>
          <w:szCs w:val="34"/>
        </w:rPr>
        <w:t>从负面清单中消除的流程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ascii="仿宋" w:hAnsi="仿宋" w:eastAsia="仿宋_GB2312" w:cs="仿宋"/>
          <w:sz w:val="34"/>
          <w:szCs w:val="34"/>
        </w:rPr>
      </w:pPr>
      <w:r>
        <w:rPr>
          <w:rFonts w:hint="eastAsia" w:ascii="仿宋_GB2312" w:hAnsi="仿宋_GB2312" w:eastAsia="仿宋_GB2312" w:cs="仿宋_GB2312"/>
          <w:sz w:val="34"/>
          <w:szCs w:val="34"/>
        </w:rPr>
        <w:t>相关流程如下：</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（三）供应保障部根据材料确认及考察情况提出建议，</w:t>
      </w:r>
      <w:r>
        <w:rPr>
          <w:rFonts w:hint="eastAsia" w:ascii="仿宋_GB2312" w:hAnsi="宋体" w:eastAsia="仿宋_GB2312"/>
          <w:sz w:val="34"/>
          <w:szCs w:val="34"/>
        </w:rPr>
        <w:t>经供应保障部、风险控制部、</w:t>
      </w:r>
      <w:r>
        <w:rPr>
          <w:rFonts w:hint="eastAsia" w:ascii="仿宋_GB2312" w:hAnsi="宋体" w:eastAsia="仿宋_GB2312" w:cs="宋体"/>
          <w:sz w:val="34"/>
          <w:szCs w:val="34"/>
        </w:rPr>
        <w:t>公司采购总监、公司分管领导、公司总经理</w:t>
      </w:r>
      <w:r>
        <w:rPr>
          <w:rFonts w:hint="eastAsia" w:ascii="仿宋_GB2312" w:hAnsi="宋体" w:eastAsia="仿宋_GB2312"/>
          <w:sz w:val="34"/>
          <w:szCs w:val="34"/>
        </w:rPr>
        <w:t>审核批准</w:t>
      </w:r>
      <w:r>
        <w:rPr>
          <w:rFonts w:hint="eastAsia" w:ascii="仿宋_GB2312" w:hAnsi="仿宋" w:eastAsia="仿宋_GB2312" w:cs="仿宋"/>
          <w:sz w:val="34"/>
          <w:szCs w:val="34"/>
        </w:rPr>
        <w:t>后从负面清单中消除。</w:t>
      </w:r>
    </w:p>
    <w:p>
      <w:pPr>
        <w:spacing w:line="600" w:lineRule="exact"/>
        <w:rPr>
          <w:rFonts w:hint="eastAsia"/>
          <w:color w:val="auto"/>
        </w:rPr>
      </w:pPr>
      <w:r>
        <w:rPr>
          <w:rFonts w:hint="eastAsia"/>
          <w:color w:val="auto"/>
        </w:rPr>
        <w:t xml:space="preserve">  </w:t>
      </w:r>
    </w:p>
    <w:p>
      <w:pPr>
        <w:spacing w:line="600" w:lineRule="exact"/>
        <w:ind w:firstLine="680" w:firstLineChars="200"/>
        <w:rPr>
          <w:rFonts w:hint="eastAsia"/>
          <w:color w:val="auto"/>
        </w:rPr>
      </w:pPr>
      <w:r>
        <w:rPr>
          <w:rFonts w:hint="eastAsia" w:ascii="仿宋_GB2312" w:hAnsi="宋体" w:eastAsia="仿宋_GB2312" w:cs="宋体"/>
          <w:sz w:val="34"/>
          <w:szCs w:val="34"/>
        </w:rPr>
        <w:t>注：供应保障部负责条款解释。</w:t>
      </w:r>
      <w:r>
        <w:rPr>
          <w:color w:val="auto"/>
        </w:rPr>
        <w:br w:type="page"/>
      </w:r>
      <w:r>
        <w:rPr>
          <w:rFonts w:hint="eastAsia" w:ascii="仿宋_GB2312" w:hAnsi="仿宋" w:eastAsia="仿宋_GB2312"/>
          <w:bCs/>
          <w:color w:val="auto"/>
          <w:sz w:val="34"/>
          <w:szCs w:val="34"/>
        </w:rPr>
        <w:t>附件2：</w:t>
      </w:r>
    </w:p>
    <w:p>
      <w:pPr>
        <w:pStyle w:val="5"/>
        <w:rPr>
          <w:rFonts w:hint="eastAsia"/>
          <w:color w:val="auto"/>
        </w:rPr>
      </w:pPr>
    </w:p>
    <w:p>
      <w:pPr>
        <w:spacing w:line="600" w:lineRule="exact"/>
        <w:jc w:val="center"/>
        <w:rPr>
          <w:rFonts w:hint="eastAsia" w:ascii="黑体" w:eastAsia="黑体"/>
          <w:b/>
          <w:color w:val="auto"/>
          <w:sz w:val="44"/>
          <w:szCs w:val="44"/>
        </w:rPr>
      </w:pPr>
      <w:r>
        <w:rPr>
          <w:rFonts w:hint="eastAsia" w:ascii="黑体" w:eastAsia="黑体"/>
          <w:b/>
          <w:color w:val="auto"/>
          <w:sz w:val="44"/>
          <w:szCs w:val="44"/>
        </w:rPr>
        <w:t>索普股份外来装卸货人员安全告知书</w:t>
      </w:r>
    </w:p>
    <w:p>
      <w:pPr>
        <w:spacing w:line="600" w:lineRule="exact"/>
        <w:jc w:val="center"/>
        <w:rPr>
          <w:rFonts w:hint="eastAsia"/>
          <w:color w:val="auto"/>
          <w:sz w:val="28"/>
          <w:szCs w:val="28"/>
        </w:rPr>
      </w:pPr>
    </w:p>
    <w:p>
      <w:pPr>
        <w:spacing w:line="60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尊敬的客户：</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投标前请认真阅读学习和理解此告知书，中标后请转发给您的承运方，进入我公司厂区请严格按告知书要求执行。</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一、危化品危险危害因素：</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我公司厂区生产过程中具有高温高压、易燃易爆、有毒有害和腐蚀等危险危害特性，主要危险化学品包括醋酸、甲醇、醋酸乙酯、乙醇、一氧化碳等，进入厂区，请严格遵守工厂安全规定，确保装卸作业安全。</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二、应当遵守的安全规定：</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1、进入厂区，严禁烟火，严禁携带火种。</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2、危险化学品车辆必须配备GPS定位系统。</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3、车辆必须配备阻火器，确保车况完好，随车配有相应的消防器材。危化品运输车辆须持“危险品运输证”等相关证件，并悬挂“危险品”标志，进入厂区内严禁超速等（厂区最高行驶速度30KM/H），必须遵守厂内交通安全管理制度。</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4、车辆进入公司前，须在门口办理进门登记手续，领取车辆和人员定位卡。并按指定线路行驶。</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5、车辆进入厂区，应在指定区域等待，服从岗位人员管理，定点停放，车辆有防溜车措施。</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6、驾驶人员和押运人员进入生产装置区域的，必须随车配好安全帽，下车即必须按规定带好安全帽，方可进入生产区域。</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7、进入生产区域严禁擅自动用岗位任何设施和用品。</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8、生产区域内，需要叉车配合作业的，随车人员严禁擅自作业，应服从岗位人员的指挥和管理，以确保装卸作业的安全，如需要装卸操作的，必须按规定穿戴好劳动防护用品方可操作。</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9、生产区域，必须注意各种安全标识，禁止穿化纤服装，禁止穿钉鞋，禁止在易燃易爆区域内使用手机等通讯工具。</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10、夏季醋酸乙酯灌装应避开高温时间段。</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11、提货人员在进行装卸货作业准备工作前，必须进行人体静电释放，放下车辆的接地带，对车辆进行检查确认完好后至岗位交出车钥匙，做好装卸货的准备工作。</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12、装卸危化品的车辆必须按装卸作业检查票的规定进行装卸作业，同时要配合好岗位人员做好装卸前安全检查、装卸过程安全检查以及装卸作业结束后的安全确认。</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13、车辆入厂前须自行检查车辆的人孔、阀门、接缘等静密封点有无泄漏，快速接头、胶管等配件是否完好，接头密封圈、脚垫是否老化。装卸前须与岗位人员一起再次检查装卸作业接口连接可靠性。</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14、车辆在进行装卸货过程中严禁物料“跑、冒、滴、漏”，严禁启动车辆，易燃易爆区域严禁使用非防爆灯具。</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15、在装卸货过程中，若出现异常，应立即停止装卸货作业，并采取相应的措施。</w:t>
      </w:r>
    </w:p>
    <w:p>
      <w:pPr>
        <w:spacing w:line="600" w:lineRule="exact"/>
        <w:ind w:firstLine="560" w:firstLineChars="200"/>
        <w:rPr>
          <w:rFonts w:ascii="仿宋" w:hAnsi="仿宋" w:eastAsia="仿宋" w:cs="仿宋"/>
          <w:sz w:val="28"/>
          <w:szCs w:val="28"/>
        </w:rPr>
      </w:pPr>
      <w:r>
        <w:rPr>
          <w:rFonts w:hint="eastAsia" w:ascii="仿宋_GB2312" w:hAnsi="仿宋" w:eastAsia="仿宋_GB2312"/>
          <w:color w:val="auto"/>
          <w:sz w:val="28"/>
          <w:szCs w:val="28"/>
        </w:rPr>
        <w:t>16、当发生紧急危险情况时，应在岗位人员的指挥下，迅速绕过泄漏点，向上风向安全地点撤离和疏散。</w:t>
      </w:r>
    </w:p>
    <w:sectPr>
      <w:pgSz w:w="11906" w:h="16838"/>
      <w:pgMar w:top="1440" w:right="1800" w:bottom="114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C739D"/>
    <w:multiLevelType w:val="multilevel"/>
    <w:tmpl w:val="20CC73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3"/>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zhkNDkwOTY1OGIwMTZmMGUzM2JmOWY4NTI0YjEifQ=="/>
  </w:docVars>
  <w:rsids>
    <w:rsidRoot w:val="7419566A"/>
    <w:rsid w:val="00032EAB"/>
    <w:rsid w:val="000C54A7"/>
    <w:rsid w:val="001B7EE2"/>
    <w:rsid w:val="003D7883"/>
    <w:rsid w:val="00542EC4"/>
    <w:rsid w:val="00775767"/>
    <w:rsid w:val="008E17B6"/>
    <w:rsid w:val="00B14D0D"/>
    <w:rsid w:val="00D42B65"/>
    <w:rsid w:val="00DA0D7D"/>
    <w:rsid w:val="00EE08C9"/>
    <w:rsid w:val="00F57B19"/>
    <w:rsid w:val="00F75062"/>
    <w:rsid w:val="02A209F3"/>
    <w:rsid w:val="037E4FBC"/>
    <w:rsid w:val="04E03997"/>
    <w:rsid w:val="054D0ACB"/>
    <w:rsid w:val="05EE57E9"/>
    <w:rsid w:val="06801C3B"/>
    <w:rsid w:val="0775529A"/>
    <w:rsid w:val="083D7A49"/>
    <w:rsid w:val="09385C0D"/>
    <w:rsid w:val="0AEC1C95"/>
    <w:rsid w:val="0BC65752"/>
    <w:rsid w:val="100C7B99"/>
    <w:rsid w:val="105D5064"/>
    <w:rsid w:val="10995B92"/>
    <w:rsid w:val="10EF5121"/>
    <w:rsid w:val="11C8067C"/>
    <w:rsid w:val="11D32460"/>
    <w:rsid w:val="126E3E5A"/>
    <w:rsid w:val="1493367A"/>
    <w:rsid w:val="15B648AC"/>
    <w:rsid w:val="160D3E88"/>
    <w:rsid w:val="168D2ABA"/>
    <w:rsid w:val="1AE10445"/>
    <w:rsid w:val="1C7D1A7E"/>
    <w:rsid w:val="1F7D49FC"/>
    <w:rsid w:val="1FC833F3"/>
    <w:rsid w:val="20712928"/>
    <w:rsid w:val="207B1FE5"/>
    <w:rsid w:val="255A0F8D"/>
    <w:rsid w:val="258D4CDE"/>
    <w:rsid w:val="28197FD2"/>
    <w:rsid w:val="2A1F4553"/>
    <w:rsid w:val="2C9A2ABC"/>
    <w:rsid w:val="2CBF6140"/>
    <w:rsid w:val="2F32105A"/>
    <w:rsid w:val="2FB614B6"/>
    <w:rsid w:val="31825558"/>
    <w:rsid w:val="31F14A27"/>
    <w:rsid w:val="322F554F"/>
    <w:rsid w:val="33095CC4"/>
    <w:rsid w:val="33C72324"/>
    <w:rsid w:val="33D32366"/>
    <w:rsid w:val="351F18AB"/>
    <w:rsid w:val="352E7227"/>
    <w:rsid w:val="35AA243C"/>
    <w:rsid w:val="35BC1032"/>
    <w:rsid w:val="35FA5E46"/>
    <w:rsid w:val="39C11183"/>
    <w:rsid w:val="3C706E90"/>
    <w:rsid w:val="3C9E57AB"/>
    <w:rsid w:val="3CA85E83"/>
    <w:rsid w:val="3CC900BE"/>
    <w:rsid w:val="3D033A12"/>
    <w:rsid w:val="40162A39"/>
    <w:rsid w:val="406430EC"/>
    <w:rsid w:val="42EB0458"/>
    <w:rsid w:val="43BC27EA"/>
    <w:rsid w:val="44EB03B0"/>
    <w:rsid w:val="463D6035"/>
    <w:rsid w:val="46E04F82"/>
    <w:rsid w:val="47022DDB"/>
    <w:rsid w:val="47500A3D"/>
    <w:rsid w:val="47D019E0"/>
    <w:rsid w:val="47F00CD6"/>
    <w:rsid w:val="484F3AB2"/>
    <w:rsid w:val="49A74ABB"/>
    <w:rsid w:val="4A1324BF"/>
    <w:rsid w:val="4D477799"/>
    <w:rsid w:val="4F936E1C"/>
    <w:rsid w:val="515D17EE"/>
    <w:rsid w:val="51790506"/>
    <w:rsid w:val="518B2B2C"/>
    <w:rsid w:val="51E342AD"/>
    <w:rsid w:val="51F35A7B"/>
    <w:rsid w:val="55256612"/>
    <w:rsid w:val="56684E7C"/>
    <w:rsid w:val="57610334"/>
    <w:rsid w:val="57730F3D"/>
    <w:rsid w:val="578D71DD"/>
    <w:rsid w:val="57A56771"/>
    <w:rsid w:val="5C541DC8"/>
    <w:rsid w:val="5DC170F4"/>
    <w:rsid w:val="5E3B0C54"/>
    <w:rsid w:val="608B3407"/>
    <w:rsid w:val="63842058"/>
    <w:rsid w:val="6511270F"/>
    <w:rsid w:val="654D24C2"/>
    <w:rsid w:val="66306EF1"/>
    <w:rsid w:val="667F5EE1"/>
    <w:rsid w:val="66A034DD"/>
    <w:rsid w:val="66AB39CF"/>
    <w:rsid w:val="6853303E"/>
    <w:rsid w:val="6B360005"/>
    <w:rsid w:val="6B40485C"/>
    <w:rsid w:val="6BBB58D5"/>
    <w:rsid w:val="6C50666C"/>
    <w:rsid w:val="6CD377A6"/>
    <w:rsid w:val="72DB18FF"/>
    <w:rsid w:val="7370719A"/>
    <w:rsid w:val="7419566A"/>
    <w:rsid w:val="76456242"/>
    <w:rsid w:val="766024C5"/>
    <w:rsid w:val="76D37E67"/>
    <w:rsid w:val="778255A2"/>
    <w:rsid w:val="77882D05"/>
    <w:rsid w:val="77974CF6"/>
    <w:rsid w:val="77AD26D2"/>
    <w:rsid w:val="78692503"/>
    <w:rsid w:val="79352133"/>
    <w:rsid w:val="795C442C"/>
    <w:rsid w:val="7B80320D"/>
    <w:rsid w:val="7BAC4AE8"/>
    <w:rsid w:val="7C9D5018"/>
    <w:rsid w:val="7EFD3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widowControl/>
      <w:pBdr>
        <w:bottom w:val="single" w:color="365F91" w:sz="12" w:space="1"/>
      </w:pBdr>
      <w:spacing w:before="600" w:after="80" w:line="360" w:lineRule="auto"/>
      <w:outlineLvl w:val="0"/>
    </w:pPr>
    <w:rPr>
      <w:rFonts w:ascii="Cambria" w:hAnsi="Cambria"/>
      <w:b/>
      <w:bCs/>
      <w:color w:val="365F91"/>
      <w:kern w:val="0"/>
      <w:sz w:val="24"/>
      <w:lang w:eastAsia="en-US" w:bidi="en-US"/>
    </w:rPr>
  </w:style>
  <w:style w:type="paragraph" w:styleId="3">
    <w:name w:val="heading 5"/>
    <w:basedOn w:val="1"/>
    <w:next w:val="1"/>
    <w:autoRedefine/>
    <w:unhideWhenUsed/>
    <w:qFormat/>
    <w:uiPriority w:val="0"/>
    <w:pPr>
      <w:widowControl/>
      <w:numPr>
        <w:ilvl w:val="4"/>
        <w:numId w:val="1"/>
      </w:numPr>
      <w:tabs>
        <w:tab w:val="left" w:pos="2880"/>
      </w:tabs>
      <w:jc w:val="left"/>
      <w:outlineLvl w:val="4"/>
    </w:pPr>
    <w:rPr>
      <w:rFonts w:ascii="Times New Roman" w:hAnsi="Times New Roman" w:cs="Times New Roman"/>
      <w:kern w:val="0"/>
      <w:sz w:val="20"/>
      <w:szCs w:val="20"/>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5"/>
    <w:autoRedefine/>
    <w:unhideWhenUsed/>
    <w:qFormat/>
    <w:uiPriority w:val="99"/>
    <w:pPr>
      <w:spacing w:after="120"/>
    </w:pPr>
  </w:style>
  <w:style w:type="paragraph" w:styleId="5">
    <w:name w:val="Plain Text"/>
    <w:basedOn w:val="1"/>
    <w:autoRedefine/>
    <w:unhideWhenUsed/>
    <w:qFormat/>
    <w:uiPriority w:val="99"/>
    <w:rPr>
      <w:rFonts w:ascii="宋体" w:hAnsi="Courier New"/>
      <w:kern w:val="0"/>
      <w:sz w:val="20"/>
      <w:szCs w:val="20"/>
    </w:rPr>
  </w:style>
  <w:style w:type="paragraph" w:styleId="6">
    <w:name w:val="footer"/>
    <w:basedOn w:val="1"/>
    <w:autoRedefine/>
    <w:qFormat/>
    <w:uiPriority w:val="0"/>
    <w:pPr>
      <w:tabs>
        <w:tab w:val="center" w:pos="4153"/>
        <w:tab w:val="right" w:pos="8306"/>
      </w:tabs>
      <w:snapToGrid w:val="0"/>
      <w:jc w:val="left"/>
    </w:pPr>
    <w:rPr>
      <w:color w:val="auto"/>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spacing w:after="120"/>
      <w:ind w:left="420" w:leftChars="200"/>
    </w:pPr>
    <w:rPr>
      <w:sz w:val="16"/>
      <w:szCs w:val="16"/>
    </w:rPr>
  </w:style>
  <w:style w:type="paragraph" w:styleId="9">
    <w:name w:val="Normal (Web)"/>
    <w:basedOn w:val="1"/>
    <w:autoRedefine/>
    <w:qFormat/>
    <w:uiPriority w:val="0"/>
    <w:pPr>
      <w:jc w:val="left"/>
    </w:pPr>
    <w:rPr>
      <w:rFonts w:hint="eastAsia" w:ascii="微软雅黑" w:hAnsi="微软雅黑" w:eastAsia="微软雅黑" w:cs="微软雅黑"/>
      <w:kern w:val="0"/>
      <w:sz w:val="18"/>
      <w:szCs w:val="18"/>
    </w:rPr>
  </w:style>
  <w:style w:type="character" w:styleId="12">
    <w:name w:val="page number"/>
    <w:autoRedefine/>
    <w:qFormat/>
    <w:uiPriority w:val="0"/>
  </w:style>
  <w:style w:type="character" w:styleId="13">
    <w:name w:val="Hyperlink"/>
    <w:basedOn w:val="11"/>
    <w:autoRedefine/>
    <w:qFormat/>
    <w:uiPriority w:val="0"/>
    <w:rPr>
      <w:color w:val="0000FF"/>
      <w:u w:val="single"/>
    </w:rPr>
  </w:style>
  <w:style w:type="paragraph" w:customStyle="1" w:styleId="14">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5">
    <w:name w:val="font11"/>
    <w:basedOn w:val="11"/>
    <w:autoRedefine/>
    <w:qFormat/>
    <w:uiPriority w:val="0"/>
    <w:rPr>
      <w:rFonts w:hint="eastAsia" w:ascii="宋体" w:hAnsi="宋体" w:eastAsia="宋体" w:cs="宋体"/>
      <w:color w:val="000000"/>
      <w:sz w:val="22"/>
      <w:szCs w:val="22"/>
      <w:u w:val="none"/>
    </w:rPr>
  </w:style>
  <w:style w:type="character" w:customStyle="1" w:styleId="16">
    <w:name w:val="font01"/>
    <w:basedOn w:val="11"/>
    <w:autoRedefine/>
    <w:qFormat/>
    <w:uiPriority w:val="0"/>
    <w:rPr>
      <w:rFonts w:hint="eastAsia" w:ascii="宋体" w:hAnsi="宋体" w:eastAsia="宋体" w:cs="宋体"/>
      <w:color w:val="000000"/>
      <w:sz w:val="22"/>
      <w:szCs w:val="22"/>
      <w:u w:val="none"/>
      <w:vertAlign w:val="superscript"/>
    </w:rPr>
  </w:style>
  <w:style w:type="table" w:customStyle="1" w:styleId="17">
    <w:name w:val="网格型1"/>
    <w:basedOn w:val="1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List Paragraph"/>
    <w:basedOn w:val="1"/>
    <w:autoRedefine/>
    <w:qFormat/>
    <w:uiPriority w:val="34"/>
    <w:pPr>
      <w:ind w:firstLine="420" w:firstLineChars="200"/>
    </w:pPr>
  </w:style>
  <w:style w:type="character" w:customStyle="1" w:styleId="19">
    <w:name w:val="font21"/>
    <w:basedOn w:val="1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8080</Words>
  <Characters>8536</Characters>
  <Lines>38</Lines>
  <Paragraphs>10</Paragraphs>
  <TotalTime>65</TotalTime>
  <ScaleCrop>false</ScaleCrop>
  <LinksUpToDate>false</LinksUpToDate>
  <CharactersWithSpaces>8719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2018-04-09T00:50:00Z</dcterms:created>
  <dc:creator>方益宏</dc:creator>
  <cp:lastModifiedBy>Administrator</cp:lastModifiedBy>
  <dcterms:modified xsi:type="dcterms:W3CDTF">2024-05-22T09:18:50Z</dcterms:modified>
  <dc:title>江苏索普化工股份有限公司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7C90C44594F64F19A4F3097130E51B1F_13</vt:lpwstr>
  </property>
</Properties>
</file>