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0F76A">
      <w:pPr>
        <w:pStyle w:val="3"/>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358D0CCA">
      <w:pPr>
        <w:pStyle w:val="3"/>
        <w:rPr>
          <w:rFonts w:ascii="方正小标宋简体" w:hAnsi="宋体" w:eastAsia="方正小标宋简体" w:cs="宋体"/>
        </w:rPr>
      </w:pPr>
      <w:r>
        <w:rPr>
          <w:rFonts w:hint="eastAsia" w:ascii="方正小标宋简体" w:hAnsi="宋体" w:eastAsia="方正小标宋简体" w:cs="宋体"/>
        </w:rPr>
        <w:t>招标文件</w:t>
      </w:r>
    </w:p>
    <w:p w14:paraId="0924E804"/>
    <w:p w14:paraId="02F56A2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采用自主公开招标的方式选定供应商，</w:t>
      </w:r>
      <w:r>
        <w:rPr>
          <w:rFonts w:hint="eastAsia" w:ascii="方正仿宋简体" w:hAnsi="方正仿宋简体" w:eastAsia="方正仿宋简体" w:cs="方正仿宋简体"/>
          <w:sz w:val="32"/>
          <w:szCs w:val="32"/>
        </w:rPr>
        <w:t>欢迎具有相关资质的厂商前来投标。</w:t>
      </w:r>
    </w:p>
    <w:p w14:paraId="7C9DE4A4">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14:paraId="39C188DD">
      <w:pPr>
        <w:spacing w:line="600" w:lineRule="exact"/>
        <w:ind w:firstLine="640" w:firstLineChars="200"/>
        <w:jc w:val="left"/>
        <w:rPr>
          <w:rFonts w:ascii="方正仿宋简体" w:hAnsi="仿宋_GB2312" w:eastAsia="方正仿宋简体" w:cs="仿宋_GB2312"/>
          <w:kern w:val="1"/>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kern w:val="44"/>
          <w:sz w:val="32"/>
          <w:szCs w:val="32"/>
          <w:u w:val="single"/>
        </w:rPr>
        <w:t>海纳川港口</w:t>
      </w:r>
      <w:r>
        <w:rPr>
          <w:rFonts w:hint="eastAsia" w:ascii="方正仿宋简体" w:hAnsi="仿宋_GB2312" w:eastAsia="方正仿宋简体" w:cs="仿宋_GB2312"/>
          <w:kern w:val="1"/>
          <w:sz w:val="32"/>
          <w:szCs w:val="32"/>
          <w:u w:val="single"/>
        </w:rPr>
        <w:t>质量流量计等202</w:t>
      </w:r>
      <w:r>
        <w:rPr>
          <w:rFonts w:ascii="方正仿宋简体" w:hAnsi="仿宋_GB2312" w:eastAsia="方正仿宋简体" w:cs="仿宋_GB2312"/>
          <w:kern w:val="1"/>
          <w:sz w:val="32"/>
          <w:szCs w:val="32"/>
          <w:u w:val="single"/>
        </w:rPr>
        <w:t>5</w:t>
      </w:r>
      <w:r>
        <w:rPr>
          <w:rFonts w:hint="eastAsia" w:ascii="方正仿宋简体" w:hAnsi="仿宋_GB2312" w:eastAsia="方正仿宋简体" w:cs="仿宋_GB2312"/>
          <w:kern w:val="1"/>
          <w:sz w:val="32"/>
          <w:szCs w:val="32"/>
          <w:u w:val="single"/>
        </w:rPr>
        <w:t>-202</w:t>
      </w:r>
      <w:r>
        <w:rPr>
          <w:rFonts w:ascii="方正仿宋简体" w:hAnsi="仿宋_GB2312" w:eastAsia="方正仿宋简体" w:cs="仿宋_GB2312"/>
          <w:kern w:val="1"/>
          <w:sz w:val="32"/>
          <w:szCs w:val="32"/>
          <w:u w:val="single"/>
        </w:rPr>
        <w:t>6</w:t>
      </w:r>
      <w:r>
        <w:rPr>
          <w:rFonts w:hint="eastAsia" w:ascii="方正仿宋简体" w:hAnsi="仿宋_GB2312" w:eastAsia="方正仿宋简体" w:cs="仿宋_GB2312"/>
          <w:kern w:val="1"/>
          <w:sz w:val="32"/>
          <w:szCs w:val="32"/>
          <w:u w:val="single"/>
        </w:rPr>
        <w:t>年度检定</w:t>
      </w:r>
      <w:r>
        <w:rPr>
          <w:rFonts w:hint="eastAsia" w:ascii="方正仿宋简体" w:hAnsi="方正仿宋简体" w:eastAsia="方正仿宋简体" w:cs="方正仿宋简体"/>
          <w:bCs/>
          <w:sz w:val="32"/>
          <w:szCs w:val="32"/>
        </w:rPr>
        <w:t>；</w:t>
      </w:r>
    </w:p>
    <w:p w14:paraId="3060AE24">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检定时间：</w:t>
      </w:r>
      <w:r>
        <w:rPr>
          <w:rFonts w:hint="eastAsia" w:ascii="方正仿宋简体" w:hAnsi="仿宋_GB2312" w:eastAsia="方正仿宋简体" w:cs="仿宋_GB2312"/>
          <w:kern w:val="1"/>
          <w:sz w:val="32"/>
          <w:szCs w:val="32"/>
        </w:rPr>
        <w:t>招标方提前3日通知待检流量计类型及日期，</w:t>
      </w:r>
      <w:r>
        <w:rPr>
          <w:rFonts w:hint="eastAsia" w:ascii="方正仿宋简体" w:hAnsi="仿宋_GB2312" w:eastAsia="方正仿宋简体" w:cs="仿宋_GB2312"/>
          <w:sz w:val="32"/>
          <w:szCs w:val="32"/>
        </w:rPr>
        <w:t>中标方在双方约定日期的上午</w:t>
      </w:r>
      <w:r>
        <w:rPr>
          <w:rFonts w:ascii="方正仿宋简体" w:hAnsi="仿宋_GB2312" w:eastAsia="方正仿宋简体" w:cs="仿宋_GB2312"/>
          <w:sz w:val="32"/>
          <w:szCs w:val="32"/>
        </w:rPr>
        <w:t>8</w:t>
      </w:r>
      <w:r>
        <w:rPr>
          <w:rFonts w:hint="eastAsia" w:ascii="方正仿宋简体" w:hAnsi="仿宋_GB2312" w:eastAsia="方正仿宋简体" w:cs="仿宋_GB2312"/>
          <w:sz w:val="32"/>
          <w:szCs w:val="32"/>
        </w:rPr>
        <w:t>点前到招标方现场提取质量流量计送检，检定结束后于当天下午15点前返还招标方。</w:t>
      </w:r>
    </w:p>
    <w:p w14:paraId="6DF0BDA4">
      <w:pPr>
        <w:pStyle w:val="3"/>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 xml:space="preserve">    </w:t>
      </w:r>
      <w:r>
        <w:rPr>
          <w:rFonts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交接地点：</w:t>
      </w:r>
      <w:r>
        <w:rPr>
          <w:rFonts w:hint="eastAsia" w:ascii="方正仿宋简体" w:hAnsi="方正仿宋简体" w:eastAsia="方正仿宋简体" w:cs="方正仿宋简体"/>
          <w:sz w:val="32"/>
          <w:szCs w:val="32"/>
          <w:u w:val="single"/>
        </w:rPr>
        <w:t>海纳川港口运营公司；</w:t>
      </w:r>
    </w:p>
    <w:p w14:paraId="4685A82C">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rPr>
        <w:t>投标截止时间：</w:t>
      </w:r>
      <w:r>
        <w:rPr>
          <w:rFonts w:hint="eastAsia" w:ascii="方正仿宋简体" w:hAnsi="方正仿宋简体" w:eastAsia="方正仿宋简体" w:cs="方正仿宋简体"/>
          <w:sz w:val="32"/>
          <w:szCs w:val="32"/>
          <w:u w:val="single"/>
        </w:rPr>
        <w:t>2025年1月14日下午15:00</w:t>
      </w:r>
      <w:r>
        <w:rPr>
          <w:rFonts w:hint="eastAsia" w:ascii="方正仿宋简体" w:hAnsi="方正仿宋简体" w:eastAsia="方正仿宋简体" w:cs="方正仿宋简体"/>
          <w:sz w:val="32"/>
          <w:szCs w:val="32"/>
        </w:rPr>
        <w:t>；</w:t>
      </w:r>
    </w:p>
    <w:p w14:paraId="67AAF46C">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rPr>
        <w:t>初定开标时间：</w:t>
      </w:r>
      <w:r>
        <w:rPr>
          <w:rFonts w:hint="eastAsia" w:ascii="方正仿宋简体" w:hAnsi="方正仿宋简体" w:eastAsia="方正仿宋简体" w:cs="方正仿宋简体"/>
          <w:sz w:val="32"/>
          <w:szCs w:val="32"/>
          <w:u w:val="single"/>
        </w:rPr>
        <w:t>2025年1月14日下午15:00</w:t>
      </w:r>
      <w:bookmarkStart w:id="0" w:name="_GoBack"/>
      <w:bookmarkEnd w:id="0"/>
      <w:r>
        <w:rPr>
          <w:rFonts w:hint="eastAsia" w:ascii="方正仿宋简体" w:hAnsi="方正仿宋简体" w:eastAsia="方正仿宋简体" w:cs="方正仿宋简体"/>
          <w:sz w:val="32"/>
          <w:szCs w:val="32"/>
        </w:rPr>
        <w:t>；</w:t>
      </w:r>
    </w:p>
    <w:p w14:paraId="63BA458B">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rPr>
        <w:t>开标地点：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14:paraId="29394147">
      <w:pPr>
        <w:pStyle w:val="5"/>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中标公示：中标信息将于开标后在江苏索普集团官网公示，请各投标方登录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81D6BDF">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二、招标内容</w:t>
      </w:r>
    </w:p>
    <w:p w14:paraId="37D6D7B4">
      <w:pPr>
        <w:adjustRightInd w:val="0"/>
        <w:snapToGrid w:val="0"/>
        <w:spacing w:line="600" w:lineRule="exact"/>
        <w:ind w:firstLine="640" w:firstLineChars="200"/>
        <w:rPr>
          <w:rFonts w:ascii="仿宋_GB2312" w:hAnsi="仿宋_GB2312" w:eastAsia="仿宋_GB2312" w:cs="仿宋_GB2312"/>
          <w:bCs/>
          <w:kern w:val="1"/>
          <w:sz w:val="30"/>
          <w:szCs w:val="30"/>
        </w:rPr>
      </w:pPr>
      <w:r>
        <w:rPr>
          <w:rFonts w:hint="eastAsia" w:ascii="方正仿宋简体" w:hAnsi="方正仿宋简体" w:eastAsia="方正仿宋简体" w:cs="方正仿宋简体"/>
          <w:sz w:val="32"/>
          <w:szCs w:val="32"/>
        </w:rPr>
        <w:t xml:space="preserve">（一）标的物内容  </w:t>
      </w:r>
      <w:r>
        <w:rPr>
          <w:rFonts w:hint="eastAsia" w:ascii="仿宋_GB2312" w:hAnsi="仿宋_GB2312" w:eastAsia="仿宋_GB2312" w:cs="仿宋_GB2312"/>
          <w:bCs/>
          <w:kern w:val="1"/>
          <w:sz w:val="30"/>
          <w:szCs w:val="30"/>
        </w:rPr>
        <w:t xml:space="preserve">  </w:t>
      </w:r>
    </w:p>
    <w:p w14:paraId="22973533">
      <w:pPr>
        <w:spacing w:line="360" w:lineRule="auto"/>
        <w:ind w:firstLine="640" w:firstLineChars="200"/>
        <w:jc w:val="left"/>
        <w:rPr>
          <w:rFonts w:ascii="方正仿宋简体" w:hAnsi="仿宋_GB2312" w:eastAsia="方正仿宋简体" w:cs="仿宋_GB2312"/>
          <w:kern w:val="1"/>
          <w:sz w:val="32"/>
          <w:szCs w:val="32"/>
        </w:rPr>
      </w:pPr>
      <w:r>
        <w:rPr>
          <w:rFonts w:hint="eastAsia" w:ascii="方正仿宋简体" w:hAnsi="方正仿宋简体" w:eastAsia="方正仿宋简体" w:cs="方正仿宋简体"/>
          <w:sz w:val="32"/>
          <w:szCs w:val="32"/>
        </w:rPr>
        <w:t>港口质量流量计等202</w:t>
      </w: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-202</w:t>
      </w: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年度检定（除</w:t>
      </w:r>
      <w:r>
        <w:rPr>
          <w:rFonts w:hint="eastAsia" w:ascii="方正仿宋简体" w:eastAsia="方正仿宋简体"/>
          <w:sz w:val="32"/>
          <w:szCs w:val="32"/>
        </w:rPr>
        <w:t>DN</w:t>
      </w:r>
      <w:r>
        <w:rPr>
          <w:rFonts w:ascii="方正仿宋简体" w:eastAsia="方正仿宋简体"/>
          <w:sz w:val="32"/>
          <w:szCs w:val="32"/>
        </w:rPr>
        <w:t>150</w:t>
      </w:r>
      <w:r>
        <w:rPr>
          <w:rFonts w:hint="eastAsia" w:ascii="方正仿宋简体" w:eastAsia="方正仿宋简体"/>
          <w:sz w:val="32"/>
          <w:szCs w:val="32"/>
        </w:rPr>
        <w:t>mm科里奥利质量流量计检定委托服务</w:t>
      </w:r>
      <w:r>
        <w:rPr>
          <w:rFonts w:ascii="方正仿宋简体" w:eastAsia="方正仿宋简体"/>
          <w:sz w:val="32"/>
          <w:szCs w:val="32"/>
        </w:rPr>
        <w:t>期限为</w:t>
      </w:r>
      <w:r>
        <w:rPr>
          <w:rFonts w:hint="eastAsia" w:ascii="方正仿宋简体" w:eastAsia="方正仿宋简体"/>
          <w:sz w:val="32"/>
          <w:szCs w:val="32"/>
        </w:rPr>
        <w:t>2025年1月20日～202</w:t>
      </w:r>
      <w:r>
        <w:rPr>
          <w:rFonts w:ascii="方正仿宋简体" w:eastAsia="方正仿宋简体"/>
          <w:sz w:val="32"/>
          <w:szCs w:val="32"/>
        </w:rPr>
        <w:t>6</w:t>
      </w:r>
      <w:r>
        <w:rPr>
          <w:rFonts w:hint="eastAsia" w:ascii="方正仿宋简体" w:eastAsia="方正仿宋简体"/>
          <w:sz w:val="32"/>
          <w:szCs w:val="32"/>
        </w:rPr>
        <w:t>年1</w:t>
      </w:r>
      <w:r>
        <w:rPr>
          <w:rFonts w:ascii="方正仿宋简体" w:eastAsia="方正仿宋简体"/>
          <w:sz w:val="32"/>
          <w:szCs w:val="32"/>
        </w:rPr>
        <w:t>2</w:t>
      </w:r>
      <w:r>
        <w:rPr>
          <w:rFonts w:hint="eastAsia" w:ascii="方正仿宋简体" w:eastAsia="方正仿宋简体"/>
          <w:sz w:val="32"/>
          <w:szCs w:val="32"/>
        </w:rPr>
        <w:t>月</w:t>
      </w:r>
      <w:r>
        <w:rPr>
          <w:rFonts w:ascii="方正仿宋简体" w:eastAsia="方正仿宋简体"/>
          <w:sz w:val="32"/>
          <w:szCs w:val="32"/>
        </w:rPr>
        <w:t>31</w:t>
      </w:r>
      <w:r>
        <w:rPr>
          <w:rFonts w:hint="eastAsia" w:ascii="方正仿宋简体" w:eastAsia="方正仿宋简体"/>
          <w:sz w:val="32"/>
          <w:szCs w:val="32"/>
        </w:rPr>
        <w:t>日，</w:t>
      </w:r>
      <w:r>
        <w:rPr>
          <w:rFonts w:ascii="方正仿宋简体" w:eastAsia="方正仿宋简体"/>
          <w:sz w:val="32"/>
          <w:szCs w:val="32"/>
        </w:rPr>
        <w:t>其他流量计</w:t>
      </w:r>
      <w:r>
        <w:rPr>
          <w:rFonts w:hint="eastAsia" w:ascii="方正仿宋简体" w:eastAsia="方正仿宋简体"/>
          <w:sz w:val="32"/>
          <w:szCs w:val="32"/>
        </w:rPr>
        <w:t>检定委托服务</w:t>
      </w:r>
      <w:r>
        <w:rPr>
          <w:rFonts w:ascii="方正仿宋简体" w:eastAsia="方正仿宋简体"/>
          <w:sz w:val="32"/>
          <w:szCs w:val="32"/>
        </w:rPr>
        <w:t>期限为</w:t>
      </w:r>
      <w:r>
        <w:rPr>
          <w:rFonts w:hint="eastAsia" w:ascii="方正仿宋简体" w:eastAsia="方正仿宋简体"/>
          <w:sz w:val="32"/>
          <w:szCs w:val="32"/>
        </w:rPr>
        <w:t>2025年</w:t>
      </w:r>
      <w:r>
        <w:rPr>
          <w:rFonts w:ascii="方正仿宋简体" w:eastAsia="方正仿宋简体"/>
          <w:sz w:val="32"/>
          <w:szCs w:val="32"/>
        </w:rPr>
        <w:t>4</w:t>
      </w:r>
      <w:r>
        <w:rPr>
          <w:rFonts w:hint="eastAsia" w:ascii="方正仿宋简体" w:eastAsia="方正仿宋简体"/>
          <w:sz w:val="32"/>
          <w:szCs w:val="32"/>
        </w:rPr>
        <w:t>月</w:t>
      </w:r>
      <w:r>
        <w:rPr>
          <w:rFonts w:ascii="方正仿宋简体" w:eastAsia="方正仿宋简体"/>
          <w:sz w:val="32"/>
          <w:szCs w:val="32"/>
        </w:rPr>
        <w:t>9</w:t>
      </w:r>
      <w:r>
        <w:rPr>
          <w:rFonts w:hint="eastAsia" w:ascii="方正仿宋简体" w:eastAsia="方正仿宋简体"/>
          <w:sz w:val="32"/>
          <w:szCs w:val="32"/>
        </w:rPr>
        <w:t>日～202</w:t>
      </w:r>
      <w:r>
        <w:rPr>
          <w:rFonts w:ascii="方正仿宋简体" w:eastAsia="方正仿宋简体"/>
          <w:sz w:val="32"/>
          <w:szCs w:val="32"/>
        </w:rPr>
        <w:t>6</w:t>
      </w:r>
      <w:r>
        <w:rPr>
          <w:rFonts w:hint="eastAsia" w:ascii="方正仿宋简体" w:eastAsia="方正仿宋简体"/>
          <w:sz w:val="32"/>
          <w:szCs w:val="32"/>
        </w:rPr>
        <w:t>年1</w:t>
      </w:r>
      <w:r>
        <w:rPr>
          <w:rFonts w:ascii="方正仿宋简体" w:eastAsia="方正仿宋简体"/>
          <w:sz w:val="32"/>
          <w:szCs w:val="32"/>
        </w:rPr>
        <w:t>2</w:t>
      </w:r>
      <w:r>
        <w:rPr>
          <w:rFonts w:hint="eastAsia" w:ascii="方正仿宋简体" w:eastAsia="方正仿宋简体"/>
          <w:sz w:val="32"/>
          <w:szCs w:val="32"/>
        </w:rPr>
        <w:t>月</w:t>
      </w:r>
      <w:r>
        <w:rPr>
          <w:rFonts w:ascii="方正仿宋简体" w:eastAsia="方正仿宋简体"/>
          <w:sz w:val="32"/>
          <w:szCs w:val="32"/>
        </w:rPr>
        <w:t>31</w:t>
      </w:r>
      <w:r>
        <w:rPr>
          <w:rFonts w:hint="eastAsia" w:ascii="方正仿宋简体" w:eastAsia="方正仿宋简体"/>
          <w:sz w:val="32"/>
          <w:szCs w:val="32"/>
        </w:rPr>
        <w:t>日</w:t>
      </w:r>
      <w:r>
        <w:rPr>
          <w:rFonts w:hint="eastAsia" w:ascii="方正仿宋简体" w:hAnsi="方正仿宋简体" w:eastAsia="方正仿宋简体" w:cs="方正仿宋简体"/>
          <w:sz w:val="32"/>
          <w:szCs w:val="32"/>
        </w:rPr>
        <w:t>）</w:t>
      </w:r>
      <w:r>
        <w:rPr>
          <w:rFonts w:hint="eastAsia" w:ascii="方正仿宋简体" w:hAnsi="仿宋_GB2312" w:eastAsia="方正仿宋简体" w:cs="仿宋_GB2312"/>
          <w:kern w:val="1"/>
          <w:sz w:val="32"/>
          <w:szCs w:val="32"/>
        </w:rPr>
        <w:t>。</w:t>
      </w:r>
      <w:r>
        <w:rPr>
          <w:rFonts w:hint="eastAsia"/>
        </w:rPr>
        <w:t xml:space="preserve">   </w:t>
      </w:r>
    </w:p>
    <w:p w14:paraId="15E94C39">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（二）技术要求</w:t>
      </w:r>
    </w:p>
    <w:p w14:paraId="4E913F80">
      <w:pPr>
        <w:spacing w:line="360" w:lineRule="auto"/>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w:t>
      </w:r>
      <w:r>
        <w:rPr>
          <w:rFonts w:ascii="方正仿宋简体" w:hAnsi="仿宋_GB2312" w:eastAsia="方正仿宋简体" w:cs="仿宋_GB2312"/>
          <w:sz w:val="32"/>
          <w:szCs w:val="32"/>
        </w:rPr>
        <w:t xml:space="preserve">. </w:t>
      </w:r>
      <w:r>
        <w:rPr>
          <w:rFonts w:hint="eastAsia" w:ascii="方正仿宋简体" w:hAnsi="仿宋_GB2312" w:eastAsia="方正仿宋简体" w:cs="仿宋_GB2312"/>
          <w:sz w:val="32"/>
          <w:szCs w:val="32"/>
        </w:rPr>
        <w:t>检定项目</w:t>
      </w:r>
    </w:p>
    <w:tbl>
      <w:tblPr>
        <w:tblStyle w:val="13"/>
        <w:tblW w:w="8539" w:type="dxa"/>
        <w:jc w:val="center"/>
        <w:tblLayout w:type="fixed"/>
        <w:tblCellMar>
          <w:top w:w="0" w:type="dxa"/>
          <w:left w:w="108" w:type="dxa"/>
          <w:bottom w:w="0" w:type="dxa"/>
          <w:right w:w="108" w:type="dxa"/>
        </w:tblCellMar>
      </w:tblPr>
      <w:tblGrid>
        <w:gridCol w:w="3294"/>
        <w:gridCol w:w="2493"/>
        <w:gridCol w:w="1193"/>
        <w:gridCol w:w="1559"/>
      </w:tblGrid>
      <w:tr w14:paraId="7C56D812">
        <w:tblPrEx>
          <w:tblCellMar>
            <w:top w:w="0" w:type="dxa"/>
            <w:left w:w="108" w:type="dxa"/>
            <w:bottom w:w="0" w:type="dxa"/>
            <w:right w:w="108" w:type="dxa"/>
          </w:tblCellMar>
        </w:tblPrEx>
        <w:trPr>
          <w:trHeight w:val="567" w:hRule="exact"/>
          <w:jc w:val="center"/>
        </w:trPr>
        <w:tc>
          <w:tcPr>
            <w:tcW w:w="3294" w:type="dxa"/>
            <w:tcBorders>
              <w:top w:val="single" w:color="000000" w:sz="4" w:space="0"/>
              <w:left w:val="single" w:color="000000" w:sz="4" w:space="0"/>
              <w:bottom w:val="single" w:color="000000" w:sz="4" w:space="0"/>
              <w:right w:val="single" w:color="000000" w:sz="4" w:space="0"/>
            </w:tcBorders>
            <w:vAlign w:val="center"/>
          </w:tcPr>
          <w:p w14:paraId="09535923">
            <w:pPr>
              <w:widowControl/>
              <w:jc w:val="center"/>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名称</w:t>
            </w:r>
          </w:p>
        </w:tc>
        <w:tc>
          <w:tcPr>
            <w:tcW w:w="2493" w:type="dxa"/>
            <w:tcBorders>
              <w:top w:val="single" w:color="000000" w:sz="4" w:space="0"/>
              <w:left w:val="nil"/>
              <w:bottom w:val="single" w:color="000000" w:sz="4" w:space="0"/>
              <w:right w:val="single" w:color="000000" w:sz="4" w:space="0"/>
            </w:tcBorders>
            <w:vAlign w:val="center"/>
          </w:tcPr>
          <w:p w14:paraId="06CAACAA">
            <w:pPr>
              <w:widowControl/>
              <w:jc w:val="center"/>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规格型号</w:t>
            </w:r>
          </w:p>
        </w:tc>
        <w:tc>
          <w:tcPr>
            <w:tcW w:w="1193" w:type="dxa"/>
            <w:tcBorders>
              <w:top w:val="single" w:color="000000" w:sz="4" w:space="0"/>
              <w:left w:val="nil"/>
              <w:bottom w:val="single" w:color="000000" w:sz="4" w:space="0"/>
              <w:right w:val="single" w:color="000000" w:sz="4" w:space="0"/>
            </w:tcBorders>
          </w:tcPr>
          <w:p w14:paraId="7AE0B133">
            <w:pPr>
              <w:widowControl/>
              <w:jc w:val="center"/>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数量</w:t>
            </w:r>
          </w:p>
        </w:tc>
        <w:tc>
          <w:tcPr>
            <w:tcW w:w="1559" w:type="dxa"/>
            <w:tcBorders>
              <w:top w:val="single" w:color="000000" w:sz="4" w:space="0"/>
              <w:left w:val="nil"/>
              <w:bottom w:val="single" w:color="000000" w:sz="4" w:space="0"/>
              <w:right w:val="single" w:color="000000" w:sz="4" w:space="0"/>
            </w:tcBorders>
            <w:vAlign w:val="center"/>
          </w:tcPr>
          <w:p w14:paraId="77449A5C">
            <w:pPr>
              <w:widowControl/>
              <w:jc w:val="center"/>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备注</w:t>
            </w:r>
          </w:p>
        </w:tc>
      </w:tr>
      <w:tr w14:paraId="1C152326">
        <w:tblPrEx>
          <w:tblCellMar>
            <w:top w:w="0" w:type="dxa"/>
            <w:left w:w="108" w:type="dxa"/>
            <w:bottom w:w="0" w:type="dxa"/>
            <w:right w:w="108" w:type="dxa"/>
          </w:tblCellMar>
        </w:tblPrEx>
        <w:trPr>
          <w:trHeight w:val="567" w:hRule="exact"/>
          <w:jc w:val="center"/>
        </w:trPr>
        <w:tc>
          <w:tcPr>
            <w:tcW w:w="3294" w:type="dxa"/>
            <w:tcBorders>
              <w:top w:val="nil"/>
              <w:left w:val="single" w:color="000000" w:sz="4" w:space="0"/>
              <w:bottom w:val="single" w:color="000000" w:sz="4" w:space="0"/>
              <w:right w:val="single" w:color="000000" w:sz="4" w:space="0"/>
            </w:tcBorders>
            <w:vAlign w:val="center"/>
          </w:tcPr>
          <w:p w14:paraId="601377B1">
            <w:pPr>
              <w:widowControl/>
              <w:jc w:val="left"/>
              <w:rPr>
                <w:rFonts w:ascii="方正仿宋简体" w:hAnsi="仿宋_GB2312" w:eastAsia="方正仿宋简体" w:cs="仿宋_GB2312"/>
                <w:sz w:val="32"/>
                <w:szCs w:val="32"/>
              </w:rPr>
            </w:pPr>
            <w:r>
              <w:rPr>
                <w:rFonts w:hint="eastAsia" w:ascii="方正仿宋简体" w:eastAsia="方正仿宋简体"/>
                <w:sz w:val="32"/>
                <w:szCs w:val="32"/>
              </w:rPr>
              <w:t>科里奥利质量流量计</w:t>
            </w:r>
          </w:p>
        </w:tc>
        <w:tc>
          <w:tcPr>
            <w:tcW w:w="2493" w:type="dxa"/>
            <w:tcBorders>
              <w:top w:val="nil"/>
              <w:left w:val="nil"/>
              <w:bottom w:val="single" w:color="000000" w:sz="4" w:space="0"/>
              <w:right w:val="single" w:color="000000" w:sz="4" w:space="0"/>
            </w:tcBorders>
            <w:vAlign w:val="center"/>
          </w:tcPr>
          <w:p w14:paraId="7719E251">
            <w:pPr>
              <w:widowControl/>
              <w:jc w:val="left"/>
              <w:rPr>
                <w:rFonts w:ascii="方正仿宋简体" w:hAnsi="仿宋_GB2312" w:eastAsia="方正仿宋简体" w:cs="仿宋_GB2312"/>
                <w:sz w:val="32"/>
                <w:szCs w:val="32"/>
              </w:rPr>
            </w:pPr>
            <w:r>
              <w:rPr>
                <w:rFonts w:hint="eastAsia" w:ascii="方正仿宋简体" w:eastAsia="方正仿宋简体"/>
                <w:sz w:val="32"/>
                <w:szCs w:val="32"/>
              </w:rPr>
              <w:t>DN50mm</w:t>
            </w:r>
          </w:p>
        </w:tc>
        <w:tc>
          <w:tcPr>
            <w:tcW w:w="1193" w:type="dxa"/>
            <w:tcBorders>
              <w:top w:val="nil"/>
              <w:left w:val="nil"/>
              <w:bottom w:val="single" w:color="000000" w:sz="4" w:space="0"/>
              <w:right w:val="single" w:color="000000" w:sz="4" w:space="0"/>
            </w:tcBorders>
          </w:tcPr>
          <w:p w14:paraId="471EEBC3">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12</w:t>
            </w:r>
            <w:r>
              <w:rPr>
                <w:rFonts w:hint="eastAsia" w:ascii="方正仿宋简体" w:hAnsi="仿宋_GB2312" w:eastAsia="方正仿宋简体" w:cs="仿宋_GB2312"/>
                <w:sz w:val="32"/>
                <w:szCs w:val="32"/>
              </w:rPr>
              <w:t>台</w:t>
            </w:r>
          </w:p>
        </w:tc>
        <w:tc>
          <w:tcPr>
            <w:tcW w:w="1559" w:type="dxa"/>
            <w:tcBorders>
              <w:top w:val="nil"/>
              <w:left w:val="nil"/>
              <w:bottom w:val="single" w:color="000000" w:sz="4" w:space="0"/>
              <w:right w:val="single" w:color="000000" w:sz="4" w:space="0"/>
            </w:tcBorders>
            <w:vAlign w:val="center"/>
          </w:tcPr>
          <w:p w14:paraId="7EFD0951">
            <w:pPr>
              <w:widowControl/>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检定</w:t>
            </w:r>
          </w:p>
        </w:tc>
      </w:tr>
      <w:tr w14:paraId="24E91660">
        <w:tblPrEx>
          <w:tblCellMar>
            <w:top w:w="0" w:type="dxa"/>
            <w:left w:w="108" w:type="dxa"/>
            <w:bottom w:w="0" w:type="dxa"/>
            <w:right w:w="108" w:type="dxa"/>
          </w:tblCellMar>
        </w:tblPrEx>
        <w:trPr>
          <w:trHeight w:val="567" w:hRule="exact"/>
          <w:jc w:val="center"/>
        </w:trPr>
        <w:tc>
          <w:tcPr>
            <w:tcW w:w="3294" w:type="dxa"/>
            <w:tcBorders>
              <w:top w:val="nil"/>
              <w:left w:val="single" w:color="000000" w:sz="4" w:space="0"/>
              <w:bottom w:val="single" w:color="000000" w:sz="4" w:space="0"/>
              <w:right w:val="single" w:color="000000" w:sz="4" w:space="0"/>
            </w:tcBorders>
            <w:vAlign w:val="center"/>
          </w:tcPr>
          <w:p w14:paraId="22535EBA">
            <w:pPr>
              <w:widowControl/>
              <w:jc w:val="left"/>
              <w:rPr>
                <w:rFonts w:ascii="方正仿宋简体" w:hAnsi="仿宋_GB2312" w:eastAsia="方正仿宋简体" w:cs="仿宋_GB2312"/>
                <w:sz w:val="32"/>
                <w:szCs w:val="32"/>
              </w:rPr>
            </w:pPr>
            <w:r>
              <w:rPr>
                <w:rFonts w:hint="eastAsia" w:ascii="方正仿宋简体" w:eastAsia="方正仿宋简体"/>
                <w:sz w:val="32"/>
                <w:szCs w:val="32"/>
              </w:rPr>
              <w:t>科里奥利质量流量计</w:t>
            </w:r>
          </w:p>
        </w:tc>
        <w:tc>
          <w:tcPr>
            <w:tcW w:w="2493" w:type="dxa"/>
            <w:tcBorders>
              <w:top w:val="nil"/>
              <w:left w:val="nil"/>
              <w:bottom w:val="single" w:color="000000" w:sz="4" w:space="0"/>
              <w:right w:val="single" w:color="000000" w:sz="4" w:space="0"/>
            </w:tcBorders>
            <w:vAlign w:val="center"/>
          </w:tcPr>
          <w:p w14:paraId="01550FE2">
            <w:pPr>
              <w:widowControl/>
              <w:jc w:val="left"/>
              <w:rPr>
                <w:rFonts w:ascii="方正仿宋简体" w:hAnsi="仿宋_GB2312" w:eastAsia="方正仿宋简体" w:cs="仿宋_GB2312"/>
                <w:sz w:val="32"/>
                <w:szCs w:val="32"/>
              </w:rPr>
            </w:pPr>
            <w:r>
              <w:rPr>
                <w:rFonts w:hint="eastAsia" w:ascii="方正仿宋简体" w:eastAsia="方正仿宋简体"/>
                <w:sz w:val="32"/>
                <w:szCs w:val="32"/>
              </w:rPr>
              <w:t>DN(80～100)mm</w:t>
            </w:r>
          </w:p>
        </w:tc>
        <w:tc>
          <w:tcPr>
            <w:tcW w:w="1193" w:type="dxa"/>
            <w:tcBorders>
              <w:top w:val="nil"/>
              <w:left w:val="nil"/>
              <w:bottom w:val="single" w:color="000000" w:sz="4" w:space="0"/>
              <w:right w:val="single" w:color="000000" w:sz="4" w:space="0"/>
            </w:tcBorders>
          </w:tcPr>
          <w:p w14:paraId="0C8EA017">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50</w:t>
            </w:r>
            <w:r>
              <w:rPr>
                <w:rFonts w:hint="eastAsia" w:ascii="方正仿宋简体" w:hAnsi="仿宋_GB2312" w:eastAsia="方正仿宋简体" w:cs="仿宋_GB2312"/>
                <w:sz w:val="32"/>
                <w:szCs w:val="32"/>
              </w:rPr>
              <w:t>台</w:t>
            </w:r>
          </w:p>
        </w:tc>
        <w:tc>
          <w:tcPr>
            <w:tcW w:w="1559" w:type="dxa"/>
            <w:tcBorders>
              <w:top w:val="nil"/>
              <w:left w:val="nil"/>
              <w:bottom w:val="single" w:color="000000" w:sz="4" w:space="0"/>
              <w:right w:val="single" w:color="000000" w:sz="4" w:space="0"/>
            </w:tcBorders>
            <w:vAlign w:val="center"/>
          </w:tcPr>
          <w:p w14:paraId="6D8A888D">
            <w:pPr>
              <w:widowControl/>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检定</w:t>
            </w:r>
          </w:p>
        </w:tc>
      </w:tr>
      <w:tr w14:paraId="4A8084CD">
        <w:tblPrEx>
          <w:tblCellMar>
            <w:top w:w="0" w:type="dxa"/>
            <w:left w:w="108" w:type="dxa"/>
            <w:bottom w:w="0" w:type="dxa"/>
            <w:right w:w="108" w:type="dxa"/>
          </w:tblCellMar>
        </w:tblPrEx>
        <w:trPr>
          <w:trHeight w:val="567" w:hRule="exact"/>
          <w:jc w:val="center"/>
        </w:trPr>
        <w:tc>
          <w:tcPr>
            <w:tcW w:w="3294" w:type="dxa"/>
            <w:tcBorders>
              <w:top w:val="nil"/>
              <w:left w:val="single" w:color="000000" w:sz="4" w:space="0"/>
              <w:bottom w:val="single" w:color="000000" w:sz="4" w:space="0"/>
              <w:right w:val="single" w:color="000000" w:sz="4" w:space="0"/>
            </w:tcBorders>
            <w:vAlign w:val="center"/>
          </w:tcPr>
          <w:p w14:paraId="24205B8A">
            <w:pPr>
              <w:widowControl/>
              <w:jc w:val="left"/>
              <w:rPr>
                <w:rFonts w:ascii="方正仿宋简体" w:eastAsia="方正仿宋简体"/>
                <w:sz w:val="32"/>
                <w:szCs w:val="32"/>
              </w:rPr>
            </w:pPr>
            <w:r>
              <w:rPr>
                <w:rFonts w:hint="eastAsia" w:ascii="方正仿宋简体" w:eastAsia="方正仿宋简体"/>
                <w:sz w:val="32"/>
                <w:szCs w:val="32"/>
              </w:rPr>
              <w:t>科里奥利质量流量计</w:t>
            </w:r>
          </w:p>
        </w:tc>
        <w:tc>
          <w:tcPr>
            <w:tcW w:w="2493" w:type="dxa"/>
            <w:tcBorders>
              <w:top w:val="nil"/>
              <w:left w:val="nil"/>
              <w:bottom w:val="single" w:color="000000" w:sz="4" w:space="0"/>
              <w:right w:val="single" w:color="000000" w:sz="4" w:space="0"/>
            </w:tcBorders>
            <w:vAlign w:val="center"/>
          </w:tcPr>
          <w:p w14:paraId="17481E5A">
            <w:pPr>
              <w:widowControl/>
              <w:jc w:val="left"/>
              <w:rPr>
                <w:rFonts w:ascii="方正仿宋简体" w:eastAsia="方正仿宋简体"/>
                <w:sz w:val="32"/>
                <w:szCs w:val="32"/>
              </w:rPr>
            </w:pPr>
            <w:r>
              <w:rPr>
                <w:rFonts w:hint="eastAsia" w:ascii="方正仿宋简体" w:eastAsia="方正仿宋简体"/>
                <w:sz w:val="32"/>
                <w:szCs w:val="32"/>
              </w:rPr>
              <w:t>DN</w:t>
            </w:r>
            <w:r>
              <w:rPr>
                <w:rFonts w:ascii="方正仿宋简体" w:eastAsia="方正仿宋简体"/>
                <w:sz w:val="32"/>
                <w:szCs w:val="32"/>
              </w:rPr>
              <w:t>150</w:t>
            </w:r>
            <w:r>
              <w:rPr>
                <w:rFonts w:hint="eastAsia" w:ascii="方正仿宋简体" w:eastAsia="方正仿宋简体"/>
                <w:sz w:val="32"/>
                <w:szCs w:val="32"/>
              </w:rPr>
              <w:t>mm</w:t>
            </w:r>
          </w:p>
        </w:tc>
        <w:tc>
          <w:tcPr>
            <w:tcW w:w="1193" w:type="dxa"/>
            <w:tcBorders>
              <w:top w:val="nil"/>
              <w:left w:val="nil"/>
              <w:bottom w:val="single" w:color="000000" w:sz="4" w:space="0"/>
              <w:right w:val="single" w:color="000000" w:sz="4" w:space="0"/>
            </w:tcBorders>
          </w:tcPr>
          <w:p w14:paraId="061D580F">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5</w:t>
            </w:r>
            <w:r>
              <w:rPr>
                <w:rFonts w:hint="eastAsia" w:ascii="方正仿宋简体" w:hAnsi="仿宋_GB2312" w:eastAsia="方正仿宋简体" w:cs="仿宋_GB2312"/>
                <w:sz w:val="32"/>
                <w:szCs w:val="32"/>
              </w:rPr>
              <w:t>台</w:t>
            </w:r>
          </w:p>
        </w:tc>
        <w:tc>
          <w:tcPr>
            <w:tcW w:w="1559" w:type="dxa"/>
            <w:tcBorders>
              <w:top w:val="nil"/>
              <w:left w:val="nil"/>
              <w:bottom w:val="single" w:color="000000" w:sz="4" w:space="0"/>
              <w:right w:val="single" w:color="000000" w:sz="4" w:space="0"/>
            </w:tcBorders>
            <w:vAlign w:val="center"/>
          </w:tcPr>
          <w:p w14:paraId="4F15BFBE">
            <w:pPr>
              <w:widowControl/>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检定</w:t>
            </w:r>
          </w:p>
        </w:tc>
      </w:tr>
      <w:tr w14:paraId="1BB4C10F">
        <w:tblPrEx>
          <w:tblCellMar>
            <w:top w:w="0" w:type="dxa"/>
            <w:left w:w="108" w:type="dxa"/>
            <w:bottom w:w="0" w:type="dxa"/>
            <w:right w:w="108" w:type="dxa"/>
          </w:tblCellMar>
        </w:tblPrEx>
        <w:trPr>
          <w:trHeight w:val="567" w:hRule="exact"/>
          <w:jc w:val="center"/>
        </w:trPr>
        <w:tc>
          <w:tcPr>
            <w:tcW w:w="3294" w:type="dxa"/>
            <w:tcBorders>
              <w:top w:val="nil"/>
              <w:left w:val="single" w:color="000000" w:sz="4" w:space="0"/>
              <w:bottom w:val="single" w:color="000000" w:sz="4" w:space="0"/>
              <w:right w:val="single" w:color="000000" w:sz="4" w:space="0"/>
            </w:tcBorders>
            <w:vAlign w:val="center"/>
          </w:tcPr>
          <w:p w14:paraId="7C490203">
            <w:pPr>
              <w:widowControl/>
              <w:jc w:val="left"/>
              <w:rPr>
                <w:rFonts w:ascii="方正仿宋简体" w:eastAsia="方正仿宋简体"/>
                <w:sz w:val="32"/>
                <w:szCs w:val="32"/>
              </w:rPr>
            </w:pPr>
            <w:r>
              <w:rPr>
                <w:rFonts w:hint="eastAsia" w:ascii="方正仿宋简体" w:eastAsia="方正仿宋简体"/>
                <w:sz w:val="32"/>
                <w:szCs w:val="32"/>
              </w:rPr>
              <w:t>电磁流量计（液体）</w:t>
            </w:r>
          </w:p>
        </w:tc>
        <w:tc>
          <w:tcPr>
            <w:tcW w:w="2493" w:type="dxa"/>
            <w:tcBorders>
              <w:top w:val="nil"/>
              <w:left w:val="nil"/>
              <w:bottom w:val="single" w:color="000000" w:sz="4" w:space="0"/>
              <w:right w:val="single" w:color="000000" w:sz="4" w:space="0"/>
            </w:tcBorders>
            <w:vAlign w:val="center"/>
          </w:tcPr>
          <w:p w14:paraId="3493C65A">
            <w:pPr>
              <w:widowControl/>
              <w:jc w:val="left"/>
              <w:rPr>
                <w:rFonts w:ascii="方正仿宋简体" w:eastAsia="方正仿宋简体"/>
                <w:sz w:val="32"/>
                <w:szCs w:val="32"/>
              </w:rPr>
            </w:pPr>
            <w:r>
              <w:rPr>
                <w:rFonts w:hint="eastAsia" w:ascii="方正仿宋简体" w:eastAsia="方正仿宋简体"/>
                <w:sz w:val="32"/>
                <w:szCs w:val="32"/>
              </w:rPr>
              <w:t>DN50mm</w:t>
            </w:r>
          </w:p>
        </w:tc>
        <w:tc>
          <w:tcPr>
            <w:tcW w:w="1193" w:type="dxa"/>
            <w:tcBorders>
              <w:top w:val="nil"/>
              <w:left w:val="nil"/>
              <w:bottom w:val="single" w:color="000000" w:sz="4" w:space="0"/>
              <w:right w:val="single" w:color="000000" w:sz="4" w:space="0"/>
            </w:tcBorders>
          </w:tcPr>
          <w:p w14:paraId="0AC56906">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5</w:t>
            </w:r>
            <w:r>
              <w:rPr>
                <w:rFonts w:hint="eastAsia" w:ascii="方正仿宋简体" w:hAnsi="仿宋_GB2312" w:eastAsia="方正仿宋简体" w:cs="仿宋_GB2312"/>
                <w:sz w:val="32"/>
                <w:szCs w:val="32"/>
              </w:rPr>
              <w:t>台</w:t>
            </w:r>
          </w:p>
        </w:tc>
        <w:tc>
          <w:tcPr>
            <w:tcW w:w="1559" w:type="dxa"/>
            <w:tcBorders>
              <w:top w:val="nil"/>
              <w:left w:val="nil"/>
              <w:bottom w:val="single" w:color="000000" w:sz="4" w:space="0"/>
              <w:right w:val="single" w:color="000000" w:sz="4" w:space="0"/>
            </w:tcBorders>
            <w:vAlign w:val="center"/>
          </w:tcPr>
          <w:p w14:paraId="1FE1DC7C">
            <w:pPr>
              <w:widowControl/>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检定</w:t>
            </w:r>
          </w:p>
        </w:tc>
      </w:tr>
      <w:tr w14:paraId="61DCE744">
        <w:tblPrEx>
          <w:tblCellMar>
            <w:top w:w="0" w:type="dxa"/>
            <w:left w:w="108" w:type="dxa"/>
            <w:bottom w:w="0" w:type="dxa"/>
            <w:right w:w="108" w:type="dxa"/>
          </w:tblCellMar>
        </w:tblPrEx>
        <w:trPr>
          <w:trHeight w:val="567" w:hRule="exact"/>
          <w:jc w:val="center"/>
        </w:trPr>
        <w:tc>
          <w:tcPr>
            <w:tcW w:w="3294" w:type="dxa"/>
            <w:tcBorders>
              <w:top w:val="nil"/>
              <w:left w:val="single" w:color="000000" w:sz="4" w:space="0"/>
              <w:bottom w:val="single" w:color="000000" w:sz="4" w:space="0"/>
              <w:right w:val="single" w:color="000000" w:sz="4" w:space="0"/>
            </w:tcBorders>
            <w:vAlign w:val="center"/>
          </w:tcPr>
          <w:p w14:paraId="07AD2052">
            <w:pPr>
              <w:widowControl/>
              <w:jc w:val="left"/>
              <w:rPr>
                <w:rFonts w:ascii="方正仿宋简体" w:eastAsia="方正仿宋简体"/>
                <w:sz w:val="32"/>
                <w:szCs w:val="32"/>
              </w:rPr>
            </w:pPr>
            <w:r>
              <w:rPr>
                <w:rFonts w:hint="eastAsia" w:ascii="方正仿宋简体" w:eastAsia="方正仿宋简体"/>
                <w:sz w:val="32"/>
                <w:szCs w:val="32"/>
              </w:rPr>
              <w:t>电磁流量计（液体）</w:t>
            </w:r>
          </w:p>
        </w:tc>
        <w:tc>
          <w:tcPr>
            <w:tcW w:w="2493" w:type="dxa"/>
            <w:tcBorders>
              <w:top w:val="nil"/>
              <w:left w:val="nil"/>
              <w:bottom w:val="single" w:color="000000" w:sz="4" w:space="0"/>
              <w:right w:val="single" w:color="000000" w:sz="4" w:space="0"/>
            </w:tcBorders>
            <w:vAlign w:val="center"/>
          </w:tcPr>
          <w:p w14:paraId="3ACB4F2A">
            <w:pPr>
              <w:widowControl/>
              <w:jc w:val="left"/>
              <w:rPr>
                <w:rFonts w:ascii="方正仿宋简体" w:eastAsia="方正仿宋简体"/>
                <w:sz w:val="32"/>
                <w:szCs w:val="32"/>
              </w:rPr>
            </w:pPr>
            <w:r>
              <w:rPr>
                <w:rFonts w:hint="eastAsia" w:ascii="方正仿宋简体" w:eastAsia="方正仿宋简体"/>
                <w:sz w:val="32"/>
                <w:szCs w:val="32"/>
              </w:rPr>
              <w:t>DN</w:t>
            </w:r>
            <w:r>
              <w:rPr>
                <w:rFonts w:ascii="方正仿宋简体" w:eastAsia="方正仿宋简体"/>
                <w:sz w:val="32"/>
                <w:szCs w:val="32"/>
              </w:rPr>
              <w:t>80</w:t>
            </w:r>
            <w:r>
              <w:rPr>
                <w:rFonts w:hint="eastAsia" w:ascii="方正仿宋简体" w:eastAsia="方正仿宋简体"/>
                <w:sz w:val="32"/>
                <w:szCs w:val="32"/>
              </w:rPr>
              <w:t>～100mm</w:t>
            </w:r>
          </w:p>
        </w:tc>
        <w:tc>
          <w:tcPr>
            <w:tcW w:w="1193" w:type="dxa"/>
            <w:tcBorders>
              <w:top w:val="nil"/>
              <w:left w:val="nil"/>
              <w:bottom w:val="single" w:color="000000" w:sz="4" w:space="0"/>
              <w:right w:val="single" w:color="000000" w:sz="4" w:space="0"/>
            </w:tcBorders>
          </w:tcPr>
          <w:p w14:paraId="49AB3DC0">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台</w:t>
            </w:r>
          </w:p>
        </w:tc>
        <w:tc>
          <w:tcPr>
            <w:tcW w:w="1559" w:type="dxa"/>
            <w:tcBorders>
              <w:top w:val="nil"/>
              <w:left w:val="nil"/>
              <w:bottom w:val="single" w:color="000000" w:sz="4" w:space="0"/>
              <w:right w:val="single" w:color="000000" w:sz="4" w:space="0"/>
            </w:tcBorders>
            <w:vAlign w:val="center"/>
          </w:tcPr>
          <w:p w14:paraId="75A58938">
            <w:pPr>
              <w:widowControl/>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检定</w:t>
            </w:r>
          </w:p>
        </w:tc>
      </w:tr>
      <w:tr w14:paraId="5E256AF4">
        <w:tblPrEx>
          <w:tblCellMar>
            <w:top w:w="0" w:type="dxa"/>
            <w:left w:w="108" w:type="dxa"/>
            <w:bottom w:w="0" w:type="dxa"/>
            <w:right w:w="108" w:type="dxa"/>
          </w:tblCellMar>
        </w:tblPrEx>
        <w:trPr>
          <w:trHeight w:val="567" w:hRule="exact"/>
          <w:jc w:val="center"/>
        </w:trPr>
        <w:tc>
          <w:tcPr>
            <w:tcW w:w="3294" w:type="dxa"/>
            <w:tcBorders>
              <w:top w:val="nil"/>
              <w:left w:val="single" w:color="000000" w:sz="4" w:space="0"/>
              <w:bottom w:val="single" w:color="000000" w:sz="4" w:space="0"/>
              <w:right w:val="single" w:color="000000" w:sz="4" w:space="0"/>
            </w:tcBorders>
            <w:vAlign w:val="center"/>
          </w:tcPr>
          <w:p w14:paraId="0D9AB451">
            <w:pPr>
              <w:widowControl/>
              <w:jc w:val="left"/>
              <w:rPr>
                <w:rFonts w:ascii="方正仿宋简体" w:eastAsia="方正仿宋简体"/>
                <w:sz w:val="32"/>
                <w:szCs w:val="32"/>
              </w:rPr>
            </w:pPr>
            <w:r>
              <w:rPr>
                <w:rFonts w:hint="eastAsia" w:ascii="方正仿宋简体" w:eastAsia="方正仿宋简体"/>
                <w:sz w:val="32"/>
                <w:szCs w:val="32"/>
              </w:rPr>
              <w:t>涡街流量计（液体）</w:t>
            </w:r>
          </w:p>
        </w:tc>
        <w:tc>
          <w:tcPr>
            <w:tcW w:w="2493" w:type="dxa"/>
            <w:tcBorders>
              <w:top w:val="nil"/>
              <w:left w:val="nil"/>
              <w:bottom w:val="single" w:color="000000" w:sz="4" w:space="0"/>
              <w:right w:val="single" w:color="000000" w:sz="4" w:space="0"/>
            </w:tcBorders>
            <w:vAlign w:val="center"/>
          </w:tcPr>
          <w:p w14:paraId="1F0169D1">
            <w:pPr>
              <w:widowControl/>
              <w:jc w:val="left"/>
              <w:rPr>
                <w:rFonts w:ascii="方正仿宋简体" w:eastAsia="方正仿宋简体"/>
                <w:sz w:val="32"/>
                <w:szCs w:val="32"/>
              </w:rPr>
            </w:pPr>
            <w:r>
              <w:rPr>
                <w:rFonts w:hint="eastAsia" w:ascii="方正仿宋简体" w:eastAsia="方正仿宋简体"/>
                <w:sz w:val="32"/>
                <w:szCs w:val="32"/>
              </w:rPr>
              <w:t>DN50mm</w:t>
            </w:r>
          </w:p>
        </w:tc>
        <w:tc>
          <w:tcPr>
            <w:tcW w:w="1193" w:type="dxa"/>
            <w:tcBorders>
              <w:top w:val="nil"/>
              <w:left w:val="nil"/>
              <w:bottom w:val="single" w:color="000000" w:sz="4" w:space="0"/>
              <w:right w:val="single" w:color="000000" w:sz="4" w:space="0"/>
            </w:tcBorders>
          </w:tcPr>
          <w:p w14:paraId="56C9E1E1">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5</w:t>
            </w:r>
            <w:r>
              <w:rPr>
                <w:rFonts w:hint="eastAsia" w:ascii="方正仿宋简体" w:hAnsi="仿宋_GB2312" w:eastAsia="方正仿宋简体" w:cs="仿宋_GB2312"/>
                <w:sz w:val="32"/>
                <w:szCs w:val="32"/>
              </w:rPr>
              <w:t>台</w:t>
            </w:r>
          </w:p>
        </w:tc>
        <w:tc>
          <w:tcPr>
            <w:tcW w:w="1559" w:type="dxa"/>
            <w:tcBorders>
              <w:top w:val="nil"/>
              <w:left w:val="nil"/>
              <w:bottom w:val="single" w:color="000000" w:sz="4" w:space="0"/>
              <w:right w:val="single" w:color="000000" w:sz="4" w:space="0"/>
            </w:tcBorders>
            <w:vAlign w:val="center"/>
          </w:tcPr>
          <w:p w14:paraId="073F5E8C">
            <w:pPr>
              <w:widowControl/>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检定</w:t>
            </w:r>
          </w:p>
        </w:tc>
      </w:tr>
      <w:tr w14:paraId="5ECB8FF4">
        <w:tblPrEx>
          <w:tblCellMar>
            <w:top w:w="0" w:type="dxa"/>
            <w:left w:w="108" w:type="dxa"/>
            <w:bottom w:w="0" w:type="dxa"/>
            <w:right w:w="108" w:type="dxa"/>
          </w:tblCellMar>
        </w:tblPrEx>
        <w:trPr>
          <w:trHeight w:val="567" w:hRule="exact"/>
          <w:jc w:val="center"/>
        </w:trPr>
        <w:tc>
          <w:tcPr>
            <w:tcW w:w="3294" w:type="dxa"/>
            <w:tcBorders>
              <w:top w:val="nil"/>
              <w:left w:val="single" w:color="000000" w:sz="4" w:space="0"/>
              <w:bottom w:val="single" w:color="000000" w:sz="4" w:space="0"/>
              <w:right w:val="single" w:color="000000" w:sz="4" w:space="0"/>
            </w:tcBorders>
            <w:vAlign w:val="center"/>
          </w:tcPr>
          <w:p w14:paraId="35928CC7">
            <w:pPr>
              <w:widowControl/>
              <w:jc w:val="left"/>
              <w:rPr>
                <w:rFonts w:ascii="方正仿宋简体" w:eastAsia="方正仿宋简体"/>
                <w:sz w:val="32"/>
                <w:szCs w:val="32"/>
              </w:rPr>
            </w:pPr>
            <w:r>
              <w:rPr>
                <w:rFonts w:hint="eastAsia" w:ascii="方正仿宋简体" w:eastAsia="方正仿宋简体"/>
                <w:sz w:val="32"/>
                <w:szCs w:val="32"/>
              </w:rPr>
              <w:t>涡街流量计（液体）</w:t>
            </w:r>
          </w:p>
        </w:tc>
        <w:tc>
          <w:tcPr>
            <w:tcW w:w="2493" w:type="dxa"/>
            <w:tcBorders>
              <w:top w:val="nil"/>
              <w:left w:val="nil"/>
              <w:bottom w:val="single" w:color="000000" w:sz="4" w:space="0"/>
              <w:right w:val="single" w:color="000000" w:sz="4" w:space="0"/>
            </w:tcBorders>
            <w:vAlign w:val="center"/>
          </w:tcPr>
          <w:p w14:paraId="263562FF">
            <w:pPr>
              <w:widowControl/>
              <w:jc w:val="left"/>
              <w:rPr>
                <w:rFonts w:ascii="方正仿宋简体" w:eastAsia="方正仿宋简体"/>
                <w:sz w:val="32"/>
                <w:szCs w:val="32"/>
              </w:rPr>
            </w:pPr>
            <w:r>
              <w:rPr>
                <w:rFonts w:hint="eastAsia" w:ascii="方正仿宋简体" w:eastAsia="方正仿宋简体"/>
                <w:sz w:val="32"/>
                <w:szCs w:val="32"/>
              </w:rPr>
              <w:t>DN80～100mm</w:t>
            </w:r>
          </w:p>
        </w:tc>
        <w:tc>
          <w:tcPr>
            <w:tcW w:w="1193" w:type="dxa"/>
            <w:tcBorders>
              <w:top w:val="nil"/>
              <w:left w:val="nil"/>
              <w:bottom w:val="single" w:color="000000" w:sz="4" w:space="0"/>
              <w:right w:val="single" w:color="000000" w:sz="4" w:space="0"/>
            </w:tcBorders>
          </w:tcPr>
          <w:p w14:paraId="7094C62B">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7</w:t>
            </w:r>
            <w:r>
              <w:rPr>
                <w:rFonts w:hint="eastAsia" w:ascii="方正仿宋简体" w:hAnsi="仿宋_GB2312" w:eastAsia="方正仿宋简体" w:cs="仿宋_GB2312"/>
                <w:sz w:val="32"/>
                <w:szCs w:val="32"/>
              </w:rPr>
              <w:t>台</w:t>
            </w:r>
          </w:p>
        </w:tc>
        <w:tc>
          <w:tcPr>
            <w:tcW w:w="1559" w:type="dxa"/>
            <w:tcBorders>
              <w:top w:val="nil"/>
              <w:left w:val="nil"/>
              <w:bottom w:val="single" w:color="000000" w:sz="4" w:space="0"/>
              <w:right w:val="single" w:color="000000" w:sz="4" w:space="0"/>
            </w:tcBorders>
            <w:vAlign w:val="center"/>
          </w:tcPr>
          <w:p w14:paraId="191DB657">
            <w:pPr>
              <w:widowControl/>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检定</w:t>
            </w:r>
          </w:p>
        </w:tc>
      </w:tr>
    </w:tbl>
    <w:p w14:paraId="7DE3AC45"/>
    <w:p w14:paraId="48A65BCE">
      <w:pPr>
        <w:tabs>
          <w:tab w:val="left" w:pos="180"/>
        </w:tabs>
        <w:wordWrap w:val="0"/>
        <w:spacing w:line="360" w:lineRule="auto"/>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w:t>
      </w:r>
      <w:r>
        <w:rPr>
          <w:rFonts w:ascii="方正仿宋简体" w:hAnsi="仿宋_GB2312" w:eastAsia="方正仿宋简体" w:cs="仿宋_GB2312"/>
          <w:sz w:val="32"/>
          <w:szCs w:val="32"/>
        </w:rPr>
        <w:t xml:space="preserve">. </w:t>
      </w:r>
      <w:r>
        <w:rPr>
          <w:rFonts w:hint="eastAsia" w:ascii="方正仿宋简体" w:hAnsi="仿宋_GB2312" w:eastAsia="方正仿宋简体" w:cs="仿宋_GB2312"/>
          <w:sz w:val="32"/>
          <w:szCs w:val="32"/>
        </w:rPr>
        <w:t>检定标准：</w:t>
      </w:r>
    </w:p>
    <w:p w14:paraId="10933E6A">
      <w:pPr>
        <w:spacing w:line="360" w:lineRule="auto"/>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依据国家质量监督检验检疫</w:t>
      </w:r>
      <w:r>
        <w:rPr>
          <w:rFonts w:ascii="方正仿宋简体" w:hAnsi="仿宋_GB2312" w:eastAsia="方正仿宋简体" w:cs="仿宋_GB2312"/>
          <w:sz w:val="32"/>
          <w:szCs w:val="32"/>
        </w:rPr>
        <w:t>总局</w:t>
      </w:r>
      <w:r>
        <w:rPr>
          <w:rFonts w:hint="eastAsia" w:ascii="方正仿宋简体" w:hAnsi="仿宋_GB2312" w:eastAsia="方正仿宋简体" w:cs="仿宋_GB2312"/>
          <w:sz w:val="32"/>
          <w:szCs w:val="32"/>
        </w:rPr>
        <w:t>相关检定规程。</w:t>
      </w:r>
    </w:p>
    <w:p w14:paraId="48BA58E1">
      <w:pPr>
        <w:spacing w:line="360" w:lineRule="auto"/>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3</w:t>
      </w:r>
      <w:r>
        <w:rPr>
          <w:rFonts w:hint="eastAsia" w:ascii="方正仿宋简体" w:hAnsi="仿宋_GB2312" w:eastAsia="方正仿宋简体" w:cs="仿宋_GB2312"/>
          <w:sz w:val="32"/>
          <w:szCs w:val="32"/>
        </w:rPr>
        <w:t xml:space="preserve">. </w:t>
      </w:r>
      <w:r>
        <w:rPr>
          <w:rFonts w:hint="eastAsia" w:ascii="方正仿宋简体" w:hAnsi="仿宋_GB2312" w:eastAsia="方正仿宋简体" w:cs="仿宋_GB2312"/>
          <w:kern w:val="1"/>
          <w:sz w:val="32"/>
          <w:szCs w:val="32"/>
        </w:rPr>
        <w:t>招标方提前3日通知待检流量计</w:t>
      </w:r>
      <w:r>
        <w:rPr>
          <w:rFonts w:ascii="方正仿宋简体" w:hAnsi="仿宋_GB2312" w:eastAsia="方正仿宋简体" w:cs="仿宋_GB2312"/>
          <w:kern w:val="1"/>
          <w:sz w:val="32"/>
          <w:szCs w:val="32"/>
        </w:rPr>
        <w:t>类型</w:t>
      </w:r>
      <w:r>
        <w:rPr>
          <w:rFonts w:hint="eastAsia" w:ascii="方正仿宋简体" w:hAnsi="仿宋_GB2312" w:eastAsia="方正仿宋简体" w:cs="仿宋_GB2312"/>
          <w:kern w:val="1"/>
          <w:sz w:val="32"/>
          <w:szCs w:val="32"/>
        </w:rPr>
        <w:t>及日期，</w:t>
      </w:r>
      <w:r>
        <w:rPr>
          <w:rFonts w:hint="eastAsia" w:ascii="方正仿宋简体" w:hAnsi="仿宋_GB2312" w:eastAsia="方正仿宋简体" w:cs="仿宋_GB2312"/>
          <w:sz w:val="32"/>
          <w:szCs w:val="32"/>
        </w:rPr>
        <w:t>中标方在双方约定日期的上午</w:t>
      </w:r>
      <w:r>
        <w:rPr>
          <w:rFonts w:ascii="方正仿宋简体" w:hAnsi="仿宋_GB2312" w:eastAsia="方正仿宋简体" w:cs="仿宋_GB2312"/>
          <w:sz w:val="32"/>
          <w:szCs w:val="32"/>
        </w:rPr>
        <w:t>8</w:t>
      </w:r>
      <w:r>
        <w:rPr>
          <w:rFonts w:hint="eastAsia" w:ascii="方正仿宋简体" w:hAnsi="仿宋_GB2312" w:eastAsia="方正仿宋简体" w:cs="仿宋_GB2312"/>
          <w:sz w:val="32"/>
          <w:szCs w:val="32"/>
        </w:rPr>
        <w:t>点前到招标方</w:t>
      </w:r>
      <w:r>
        <w:rPr>
          <w:rFonts w:ascii="方正仿宋简体" w:hAnsi="仿宋_GB2312" w:eastAsia="方正仿宋简体" w:cs="仿宋_GB2312"/>
          <w:sz w:val="32"/>
          <w:szCs w:val="32"/>
        </w:rPr>
        <w:t>现场</w:t>
      </w:r>
      <w:r>
        <w:rPr>
          <w:rFonts w:hint="eastAsia" w:ascii="方正仿宋简体" w:hAnsi="仿宋_GB2312" w:eastAsia="方正仿宋简体" w:cs="仿宋_GB2312"/>
          <w:sz w:val="32"/>
          <w:szCs w:val="32"/>
        </w:rPr>
        <w:t>提取质量流量计送检，检定结束后于当天下午15点前返还招标方。</w:t>
      </w:r>
    </w:p>
    <w:p w14:paraId="4AB23BB2">
      <w:pPr>
        <w:spacing w:line="360" w:lineRule="auto"/>
        <w:ind w:firstLine="640" w:firstLineChars="200"/>
        <w:jc w:val="left"/>
        <w:rPr>
          <w:rFonts w:ascii="仿宋" w:hAnsi="仿宋" w:eastAsia="仿宋" w:cs="仿宋"/>
          <w:b/>
          <w:bCs/>
          <w:color w:val="000000"/>
          <w:sz w:val="44"/>
          <w:szCs w:val="44"/>
        </w:rPr>
      </w:pPr>
      <w:r>
        <w:rPr>
          <w:rFonts w:hint="eastAsia" w:ascii="方正仿宋简体" w:hAnsi="仿宋_GB2312" w:eastAsia="方正仿宋简体" w:cs="仿宋_GB2312"/>
          <w:kern w:val="1"/>
          <w:sz w:val="32"/>
          <w:szCs w:val="32"/>
        </w:rPr>
        <w:t>流量计检定后，</w:t>
      </w:r>
      <w:r>
        <w:rPr>
          <w:rFonts w:hint="eastAsia" w:ascii="方正仿宋简体" w:hAnsi="仿宋_GB2312" w:eastAsia="方正仿宋简体" w:cs="仿宋_GB2312"/>
          <w:sz w:val="32"/>
          <w:szCs w:val="32"/>
        </w:rPr>
        <w:t>中标方在10个工作日内向招标方提供省或市计量院合法、有效的检定证书。</w:t>
      </w:r>
      <w:r>
        <w:rPr>
          <w:rFonts w:ascii="仿宋" w:hAnsi="仿宋" w:eastAsia="仿宋" w:cs="仿宋"/>
          <w:b/>
          <w:bCs/>
          <w:color w:val="000000"/>
          <w:sz w:val="44"/>
          <w:szCs w:val="44"/>
        </w:rPr>
        <w:t xml:space="preserve"> </w:t>
      </w:r>
    </w:p>
    <w:p w14:paraId="69FA570A">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三、投标方资质与要求</w:t>
      </w:r>
    </w:p>
    <w:p w14:paraId="0BCED44B">
      <w:pPr>
        <w:adjustRightInd w:val="0"/>
        <w:snapToGrid w:val="0"/>
        <w:spacing w:line="60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（一）投标方必须具备中华人民共和国境内生产或经营应具备的合法资质。</w:t>
      </w:r>
    </w:p>
    <w:p w14:paraId="205258D6">
      <w:pPr>
        <w:adjustRightInd w:val="0"/>
        <w:snapToGrid w:val="0"/>
        <w:spacing w:line="60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（二）其他资质要求：</w:t>
      </w:r>
    </w:p>
    <w:p w14:paraId="216F4939">
      <w:pPr>
        <w:wordWrap w:val="0"/>
        <w:adjustRightInd w:val="0"/>
        <w:snapToGrid w:val="0"/>
        <w:spacing w:line="600" w:lineRule="exact"/>
        <w:ind w:firstLine="640" w:firstLineChars="200"/>
        <w:jc w:val="left"/>
        <w:rPr>
          <w:rFonts w:ascii="方正仿宋简体" w:eastAsia="方正仿宋简体" w:cs="仿宋_GB2312"/>
          <w:color w:val="FF0000"/>
          <w:sz w:val="32"/>
          <w:szCs w:val="32"/>
        </w:rPr>
      </w:pPr>
      <w:r>
        <w:rPr>
          <w:rFonts w:hint="eastAsia" w:ascii="方正仿宋简体" w:hAnsi="方正仿宋简体" w:eastAsia="方正仿宋简体" w:cs="方正仿宋简体"/>
          <w:sz w:val="32"/>
          <w:szCs w:val="32"/>
        </w:rPr>
        <w:t>1.投标时需提供</w:t>
      </w:r>
      <w:r>
        <w:rPr>
          <w:rFonts w:hint="eastAsia" w:ascii="方正仿宋简体" w:hAnsi="仿宋_GB2312" w:eastAsia="方正仿宋简体" w:cs="仿宋_GB2312"/>
          <w:sz w:val="32"/>
          <w:szCs w:val="32"/>
        </w:rPr>
        <w:t>营业执照</w:t>
      </w:r>
      <w:r>
        <w:rPr>
          <w:rFonts w:hint="eastAsia" w:ascii="方正仿宋简体" w:eastAsia="方正仿宋简体" w:cs="仿宋_GB2312"/>
          <w:color w:val="FF0000"/>
          <w:sz w:val="32"/>
          <w:szCs w:val="32"/>
        </w:rPr>
        <w:t>《税务登记证》、《组织机构代码证》（或三证合一）</w:t>
      </w:r>
      <w:r>
        <w:rPr>
          <w:rFonts w:hint="eastAsia" w:ascii="方正仿宋简体" w:hAnsi="仿宋_GB2312" w:eastAsia="方正仿宋简体" w:cs="仿宋_GB2312"/>
          <w:sz w:val="32"/>
          <w:szCs w:val="32"/>
        </w:rPr>
        <w:t>经营项目有计量器具检定或仪器仪表或计量技术的咨询、服务；事业单位提供法人证书（可提供复印件，但需加盖公章）业务范围有计量器具的检定或测试</w:t>
      </w:r>
      <w:r>
        <w:rPr>
          <w:rFonts w:hint="eastAsia" w:ascii="方正仿宋简体" w:hAnsi="方正仿宋简体" w:eastAsia="方正仿宋简体" w:cs="方正仿宋简体"/>
          <w:sz w:val="32"/>
          <w:szCs w:val="32"/>
        </w:rPr>
        <w:t>；</w:t>
      </w:r>
      <w:r>
        <w:rPr>
          <w:rFonts w:hint="eastAsia" w:ascii="方正仿宋简体" w:eastAsia="方正仿宋简体" w:cs="仿宋_GB2312"/>
          <w:color w:val="000000"/>
          <w:sz w:val="32"/>
          <w:szCs w:val="32"/>
        </w:rPr>
        <w:t>法人代表身份证或授权委托书。</w:t>
      </w:r>
      <w:r>
        <w:rPr>
          <w:rFonts w:hint="eastAsia" w:ascii="方正仿宋简体" w:hAnsi="仿宋_GB2312" w:eastAsia="方正仿宋简体" w:cs="仿宋_GB2312"/>
          <w:sz w:val="32"/>
          <w:szCs w:val="32"/>
        </w:rPr>
        <w:t>（以上资格证明证件可提供复印件，但需加盖公章）。</w:t>
      </w:r>
    </w:p>
    <w:p w14:paraId="124D8FBC">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ascii="方正仿宋简体" w:hAnsi="方正仿宋简体" w:eastAsia="方正仿宋简体" w:cs="方正仿宋简体"/>
          <w:kern w:val="1"/>
          <w:sz w:val="32"/>
          <w:szCs w:val="32"/>
        </w:rPr>
        <w:t>2</w:t>
      </w:r>
      <w:r>
        <w:rPr>
          <w:rFonts w:hint="eastAsia" w:ascii="方正仿宋简体" w:hAnsi="方正仿宋简体" w:eastAsia="方正仿宋简体" w:cs="方正仿宋简体"/>
          <w:kern w:val="1"/>
          <w:sz w:val="32"/>
          <w:szCs w:val="32"/>
        </w:rPr>
        <w:t>.不接受被列入失信被执行人、重大违法案件当事人投标。</w:t>
      </w:r>
    </w:p>
    <w:p w14:paraId="0E67D05F">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ascii="方正仿宋简体" w:hAnsi="方正仿宋简体" w:eastAsia="方正仿宋简体" w:cs="方正仿宋简体"/>
          <w:kern w:val="1"/>
          <w:sz w:val="32"/>
          <w:szCs w:val="32"/>
        </w:rPr>
        <w:t>3</w:t>
      </w:r>
      <w:r>
        <w:rPr>
          <w:rFonts w:hint="eastAsia" w:ascii="方正仿宋简体" w:hAnsi="方正仿宋简体" w:eastAsia="方正仿宋简体" w:cs="方正仿宋简体"/>
          <w:kern w:val="1"/>
          <w:sz w:val="32"/>
          <w:szCs w:val="32"/>
        </w:rPr>
        <w:t>.中标方应具备良好的售后服务能力，要求电话联系后</w:t>
      </w:r>
      <w:r>
        <w:rPr>
          <w:rFonts w:ascii="方正仿宋简体" w:hAnsi="方正仿宋简体" w:eastAsia="方正仿宋简体" w:cs="方正仿宋简体"/>
          <w:color w:val="FF0000"/>
          <w:kern w:val="1"/>
          <w:sz w:val="32"/>
          <w:szCs w:val="32"/>
          <w:u w:val="single"/>
        </w:rPr>
        <w:t>1</w:t>
      </w:r>
      <w:r>
        <w:rPr>
          <w:rFonts w:hint="eastAsia" w:ascii="方正仿宋简体" w:hAnsi="方正仿宋简体" w:eastAsia="方正仿宋简体" w:cs="方正仿宋简体"/>
          <w:color w:val="FF0000"/>
          <w:kern w:val="1"/>
          <w:sz w:val="32"/>
          <w:szCs w:val="32"/>
          <w:u w:val="single"/>
        </w:rPr>
        <w:t>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0E473A25">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四、现场踏勘</w:t>
      </w:r>
    </w:p>
    <w:p w14:paraId="06D7C625">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1.本项目建议投标方到现场进行踏勘，对未踏勘造成的一切后果由投标方自行承担，现场踏勘不作为投标资格的必要条件。</w:t>
      </w:r>
    </w:p>
    <w:p w14:paraId="4971473A">
      <w:pPr>
        <w:spacing w:line="360" w:lineRule="auto"/>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2.招标方在踏勘现场介绍流量计的</w:t>
      </w:r>
      <w:r>
        <w:rPr>
          <w:rFonts w:ascii="方正仿宋简体" w:hAnsi="仿宋_GB2312" w:eastAsia="方正仿宋简体" w:cs="仿宋_GB2312"/>
          <w:sz w:val="32"/>
          <w:szCs w:val="32"/>
        </w:rPr>
        <w:t>种类</w:t>
      </w:r>
      <w:r>
        <w:rPr>
          <w:rFonts w:hint="eastAsia" w:ascii="方正仿宋简体" w:hAnsi="仿宋_GB2312" w:eastAsia="方正仿宋简体" w:cs="仿宋_GB2312"/>
          <w:sz w:val="32"/>
          <w:szCs w:val="32"/>
        </w:rPr>
        <w:t>和</w:t>
      </w:r>
      <w:r>
        <w:rPr>
          <w:rFonts w:ascii="方正仿宋简体" w:hAnsi="仿宋_GB2312" w:eastAsia="方正仿宋简体" w:cs="仿宋_GB2312"/>
          <w:sz w:val="32"/>
          <w:szCs w:val="32"/>
        </w:rPr>
        <w:t>口径</w:t>
      </w:r>
      <w:r>
        <w:rPr>
          <w:rFonts w:hint="eastAsia" w:ascii="方正仿宋简体" w:hAnsi="仿宋_GB2312" w:eastAsia="方正仿宋简体" w:cs="仿宋_GB2312"/>
          <w:sz w:val="32"/>
          <w:szCs w:val="32"/>
        </w:rPr>
        <w:t>，供投标方在编制投标文件时参考，招标方不对投标方据此作出的判断和决策负责。</w:t>
      </w:r>
    </w:p>
    <w:p w14:paraId="65075809">
      <w:pPr>
        <w:pStyle w:val="6"/>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五、投标</w:t>
      </w:r>
    </w:p>
    <w:p w14:paraId="597467B8">
      <w:pPr>
        <w:pStyle w:val="6"/>
        <w:spacing w:line="600" w:lineRule="exact"/>
        <w:ind w:firstLine="640" w:firstLineChars="200"/>
        <w:rPr>
          <w:rFonts w:ascii="方正仿宋简体" w:hAnsi="方正仿宋简体" w:eastAsia="方正仿宋简体" w:cs="方正仿宋简体"/>
          <w:bCs/>
          <w:sz w:val="30"/>
          <w:szCs w:val="30"/>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报价为含增值税送到价或者现场检修验收合格价。</w:t>
      </w:r>
      <w:r>
        <w:rPr>
          <w:rFonts w:hint="eastAsia" w:ascii="方正仿宋简体" w:hAnsi="方正仿宋简体" w:eastAsia="方正仿宋简体" w:cs="方正仿宋简体"/>
          <w:bCs/>
          <w:sz w:val="30"/>
          <w:szCs w:val="30"/>
        </w:rPr>
        <w:t>如国家税率调整，按合同含税价格/（1+合同约定税率）*（1+国家规定的新税率）调整合同价格开具发票；</w:t>
      </w:r>
    </w:p>
    <w:p w14:paraId="747C4BBE">
      <w:pPr>
        <w:pStyle w:val="6"/>
        <w:spacing w:line="600" w:lineRule="exact"/>
        <w:ind w:firstLine="640" w:firstLineChars="200"/>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（二）付款方式：</w:t>
      </w:r>
    </w:p>
    <w:p w14:paraId="50271B1B">
      <w:pPr>
        <w:wordWrap w:val="0"/>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kern w:val="1"/>
          <w:sz w:val="32"/>
          <w:szCs w:val="32"/>
        </w:rPr>
        <w:t>招标方收到检定证书和中标方开具的增值税发票后</w:t>
      </w:r>
      <w:r>
        <w:rPr>
          <w:rFonts w:hint="eastAsia" w:ascii="方正仿宋简体" w:hAnsi="仿宋_GB2312" w:eastAsia="方正仿宋简体" w:cs="仿宋_GB2312"/>
          <w:kern w:val="1"/>
          <w:sz w:val="32"/>
          <w:szCs w:val="32"/>
          <w:u w:val="single"/>
        </w:rPr>
        <w:t xml:space="preserve"> 30 </w:t>
      </w:r>
      <w:r>
        <w:rPr>
          <w:rFonts w:hint="eastAsia" w:ascii="方正仿宋简体" w:hAnsi="仿宋_GB2312" w:eastAsia="方正仿宋简体" w:cs="仿宋_GB2312"/>
          <w:kern w:val="1"/>
          <w:sz w:val="32"/>
          <w:szCs w:val="32"/>
        </w:rPr>
        <w:t>日内以</w:t>
      </w:r>
      <w:r>
        <w:rPr>
          <w:rFonts w:hint="eastAsia" w:ascii="方正仿宋简体" w:hAnsi="仿宋_GB2312" w:eastAsia="方正仿宋简体" w:cs="仿宋_GB2312"/>
          <w:kern w:val="1"/>
          <w:sz w:val="32"/>
          <w:szCs w:val="32"/>
          <w:u w:val="single"/>
        </w:rPr>
        <w:t>网银汇款</w:t>
      </w:r>
      <w:r>
        <w:rPr>
          <w:rFonts w:hint="eastAsia" w:ascii="方正仿宋简体" w:hAnsi="仿宋_GB2312" w:eastAsia="方正仿宋简体" w:cs="仿宋_GB2312"/>
          <w:kern w:val="1"/>
          <w:sz w:val="32"/>
          <w:szCs w:val="32"/>
        </w:rPr>
        <w:t>方式付款；</w:t>
      </w:r>
    </w:p>
    <w:p w14:paraId="15EDD0AB">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本项目投标通过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18E6D258">
      <w:pPr>
        <w:wordWrap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bCs/>
          <w:kern w:val="1"/>
          <w:sz w:val="32"/>
          <w:szCs w:val="32"/>
        </w:rPr>
        <w:t>采用线下投标应</w:t>
      </w:r>
      <w:r>
        <w:rPr>
          <w:rFonts w:hint="eastAsia" w:ascii="方正仿宋简体" w:hAnsi="方正仿宋简体" w:eastAsia="方正仿宋简体" w:cs="方正仿宋简体"/>
          <w:bCs/>
          <w:sz w:val="32"/>
          <w:szCs w:val="32"/>
        </w:rPr>
        <w:t>将报价书及相关资料以标袋形式送达，标袋必须密封并加盖公章；在标袋封面上需注明投标项目名称、投标方名称、联系人、联系电话等；</w:t>
      </w:r>
      <w:r>
        <w:rPr>
          <w:rFonts w:hint="eastAsia" w:ascii="方正仿宋简体" w:hAnsi="方正仿宋简体" w:eastAsia="方正仿宋简体" w:cs="方正仿宋简体"/>
          <w:kern w:val="1"/>
          <w:sz w:val="32"/>
          <w:szCs w:val="32"/>
        </w:rPr>
        <w:t>并要求在投标截止时间之前送达，逾期将作为废标处理。</w:t>
      </w:r>
    </w:p>
    <w:p w14:paraId="07445715">
      <w:pPr>
        <w:pStyle w:val="5"/>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kern w:val="1"/>
          <w:sz w:val="32"/>
          <w:szCs w:val="32"/>
        </w:rPr>
        <w:t>（四）</w:t>
      </w:r>
      <w:r>
        <w:rPr>
          <w:rFonts w:hint="eastAsia" w:ascii="方正仿宋简体" w:hAnsi="方正仿宋简体" w:eastAsia="方正仿宋简体" w:cs="方正仿宋简体"/>
          <w:kern w:val="1"/>
          <w:sz w:val="32"/>
          <w:szCs w:val="32"/>
        </w:rPr>
        <w:t>具体报价格式见报价函，报价文件需提供</w:t>
      </w:r>
      <w:r>
        <w:rPr>
          <w:rFonts w:hint="eastAsia" w:ascii="方正仿宋简体" w:hAnsi="方正仿宋简体" w:eastAsia="方正仿宋简体" w:cs="方正仿宋简体"/>
          <w:color w:val="FF0000"/>
          <w:kern w:val="1"/>
          <w:sz w:val="32"/>
          <w:szCs w:val="32"/>
          <w:u w:val="single"/>
        </w:rPr>
        <w:t xml:space="preserve"> 1 </w:t>
      </w:r>
      <w:r>
        <w:rPr>
          <w:rFonts w:hint="eastAsia" w:ascii="方正仿宋简体" w:hAnsi="方正仿宋简体" w:eastAsia="方正仿宋简体" w:cs="方正仿宋简体"/>
          <w:kern w:val="1"/>
          <w:sz w:val="32"/>
          <w:szCs w:val="32"/>
        </w:rPr>
        <w:t>份；</w:t>
      </w:r>
    </w:p>
    <w:p w14:paraId="23EA1D10">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采用线下投标的，投标文件请密封邮寄：</w:t>
      </w:r>
    </w:p>
    <w:p w14:paraId="2CABFF03">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0F27A68F">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319619E4">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6554468D">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327597AE">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2D6BD0A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凡对招标文件条款有疑义的，请在开标前按以下方式联系：</w:t>
      </w:r>
    </w:p>
    <w:p w14:paraId="6F9B5073">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7D3A2E78">
      <w:pPr>
        <w:adjustRightInd w:val="0"/>
        <w:snapToGrid w:val="0"/>
        <w:spacing w:line="600" w:lineRule="exact"/>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756FC2E">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招标业务联系电话：13952943464</w:t>
      </w:r>
    </w:p>
    <w:p w14:paraId="57FBA8D0">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技术部门联系人：卞骏   电话：</w:t>
      </w:r>
      <w:r>
        <w:rPr>
          <w:rFonts w:ascii="方正仿宋简体" w:hAnsi="方正仿宋简体" w:eastAsia="方正仿宋简体" w:cs="方正仿宋简体"/>
          <w:bCs/>
          <w:kern w:val="1"/>
          <w:sz w:val="32"/>
          <w:szCs w:val="32"/>
        </w:rPr>
        <w:t>15306107162</w:t>
      </w:r>
    </w:p>
    <w:p w14:paraId="7FA1C4BB">
      <w:pPr>
        <w:pStyle w:val="6"/>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w:t>
      </w:r>
      <w:r>
        <w:rPr>
          <w:rFonts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rPr>
        <w:t>开标、评标及废标：</w:t>
      </w:r>
    </w:p>
    <w:p w14:paraId="59D1F36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开标</w:t>
      </w:r>
    </w:p>
    <w:p w14:paraId="105A4BF7">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本项目由招标方组织评标小组负责开标工作，对各投标方报价进行评标，确定最终中标方。</w:t>
      </w:r>
    </w:p>
    <w:p w14:paraId="18BA1B5B">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1.请各投标方保持通讯畅通，便于</w:t>
      </w:r>
      <w:r>
        <w:rPr>
          <w:rFonts w:hint="eastAsia" w:ascii="方正仿宋简体" w:hAnsi="方正仿宋简体" w:eastAsia="方正仿宋简体" w:cs="方正仿宋简体"/>
          <w:kern w:val="1"/>
          <w:sz w:val="32"/>
          <w:szCs w:val="32"/>
        </w:rPr>
        <w:t>评标小组在开标现场电话联系</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sz w:val="32"/>
          <w:szCs w:val="32"/>
        </w:rPr>
        <w:t>确认标书中的相关信息，投标方必须及时回复开标过程中招标方提出的问题，合理解释投标文件与招标文件的偏离。如评标小组开标现场10分钟内电话联系不上投标方，且投标文件与招标文件的偏离影响定标结果，则视为投标方主动放弃本项目投标，开标结束后不再接受投标方的任何解释。</w:t>
      </w:r>
    </w:p>
    <w:p w14:paraId="308EDA16">
      <w:pPr>
        <w:pStyle w:val="5"/>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2.评标小组不得泄露各投标方的报价。   </w:t>
      </w:r>
    </w:p>
    <w:p w14:paraId="7F7C348B">
      <w:pPr>
        <w:spacing w:line="360" w:lineRule="auto"/>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评标</w:t>
      </w:r>
    </w:p>
    <w:p w14:paraId="399017EA">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09959614">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采取综合评审方法进行打分，具体按价格得分、技术得分、商务得分（得分比例根据货物内容确定）三个方面进行评审，并按综合得分由高到低顺序推选一名中标候选人。</w:t>
      </w:r>
    </w:p>
    <w:p w14:paraId="536688DE">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（本次采用该种评标方式）</w:t>
      </w:r>
    </w:p>
    <w:p w14:paraId="5BAC6E20">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在能够满足招标方技术要求及响应时间要求的投标方中选择总投标价最低的一家投标方作为中标候选人。开标中出现两家或多家单位价格一致且同时属于最低价时，优先考虑与我司长期合作的单位。</w:t>
      </w:r>
    </w:p>
    <w:p w14:paraId="6EB6746F">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废标</w:t>
      </w:r>
    </w:p>
    <w:p w14:paraId="281A536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1.招标方如发现招标过程中有串标、陪标等扰乱招标方经营秩序的恶劣情况，经招标方评标小组评定可作废标处理，并可将相关投标方列入供应商负面清单，一年内不再接受参与投标工作。</w:t>
      </w:r>
    </w:p>
    <w:p w14:paraId="2158DDA4">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凡投标方不具备</w:t>
      </w:r>
      <w:r>
        <w:rPr>
          <w:rFonts w:hint="eastAsia" w:ascii="方正仿宋简体" w:hAnsi="方正仿宋简体" w:eastAsia="方正仿宋简体" w:cs="方正仿宋简体"/>
          <w:bCs/>
          <w:color w:val="000000"/>
          <w:kern w:val="1"/>
          <w:sz w:val="32"/>
          <w:szCs w:val="32"/>
        </w:rPr>
        <w:t>招标方明确要求资质的，</w:t>
      </w:r>
      <w:r>
        <w:rPr>
          <w:rFonts w:hint="eastAsia" w:ascii="方正仿宋简体" w:hAnsi="方正仿宋简体" w:eastAsia="方正仿宋简体" w:cs="方正仿宋简体"/>
          <w:bCs/>
          <w:kern w:val="1"/>
          <w:sz w:val="32"/>
          <w:szCs w:val="32"/>
        </w:rPr>
        <w:t>或投标文件填写不完整、报价有空项的，或不符合技术要求条款的，或者存在其他不符合招标方有关要求的问题，经招标方评标小组评定，可作废标处理。</w:t>
      </w:r>
    </w:p>
    <w:p w14:paraId="24588C88">
      <w:pPr>
        <w:pStyle w:val="6"/>
        <w:spacing w:line="600" w:lineRule="exact"/>
        <w:ind w:firstLine="643" w:firstLineChars="200"/>
        <w:rPr>
          <w:rFonts w:ascii="方正仿宋简体" w:hAnsi="方正仿宋简体" w:eastAsia="方正仿宋简体" w:cs="方正仿宋简体"/>
          <w:bCs/>
          <w:color w:val="FF0000"/>
          <w:kern w:val="1"/>
          <w:sz w:val="32"/>
          <w:szCs w:val="32"/>
        </w:rPr>
      </w:pPr>
      <w:r>
        <w:rPr>
          <w:rFonts w:hint="eastAsia" w:ascii="方正黑体_GBK" w:hAnsi="方正黑体_GBK" w:eastAsia="方正黑体_GBK" w:cs="方正黑体_GBK"/>
          <w:b/>
          <w:kern w:val="1"/>
          <w:sz w:val="32"/>
          <w:szCs w:val="32"/>
        </w:rPr>
        <w:t xml:space="preserve"> 七、其他注意事项：</w:t>
      </w:r>
    </w:p>
    <w:p w14:paraId="7470773C">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未经招标方允许,中标方不得以任何方式将本项目分包给第三方，否则按本合同总价的10%作为违约金，同时招标方有权终止本合同。　　</w:t>
      </w:r>
    </w:p>
    <w:p w14:paraId="22109877">
      <w:pPr>
        <w:adjustRightInd w:val="0"/>
        <w:snapToGrid w:val="0"/>
        <w:spacing w:line="600" w:lineRule="exact"/>
        <w:ind w:firstLine="640" w:firstLineChars="200"/>
        <w:jc w:val="left"/>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中标方中标以后应严格按照标书约定与招标方签定委托合同，并按合同约定做好服务工作。对中标方所有违背标书及合同约定的行为，招标方均可持续保留与中标方中止合作的一切权利。</w:t>
      </w:r>
    </w:p>
    <w:p w14:paraId="22ADC477">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如因中标方不能正常履约，对招标方生产经营活动造成影响的，招标方将依法追究投标方法律责任。</w:t>
      </w:r>
    </w:p>
    <w:p w14:paraId="4D078C34">
      <w:pPr>
        <w:pStyle w:val="4"/>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因中标方原因，检定工作不能按招标文件规定的期限完成，招标方可选择以下处理方式：</w:t>
      </w:r>
      <w:r>
        <w:rPr>
          <w:rFonts w:ascii="方正仿宋简体" w:hAnsi="方正仿宋简体" w:eastAsia="方正仿宋简体" w:cs="方正仿宋简体"/>
          <w:bCs/>
          <w:kern w:val="1"/>
          <w:sz w:val="32"/>
          <w:szCs w:val="32"/>
        </w:rPr>
        <w:t xml:space="preserve"> </w:t>
      </w:r>
    </w:p>
    <w:p w14:paraId="6558561C">
      <w:pPr>
        <w:tabs>
          <w:tab w:val="left" w:pos="960"/>
          <w:tab w:val="left" w:pos="1920"/>
          <w:tab w:val="left" w:pos="8222"/>
        </w:tabs>
        <w:spacing w:line="600" w:lineRule="exact"/>
        <w:ind w:firstLine="640" w:firstLineChars="200"/>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1</w:t>
      </w:r>
      <w:r>
        <w:rPr>
          <w:rFonts w:hint="eastAsia" w:ascii="方正仿宋简体" w:hAnsi="方正仿宋简体" w:eastAsia="方正仿宋简体" w:cs="方正仿宋简体"/>
          <w:bCs/>
          <w:sz w:val="32"/>
          <w:szCs w:val="32"/>
        </w:rPr>
        <w:t>.由于中标方的原因导致检定时间超出约定期限的，招标方有权要求重新安排检定时间，并免缴全部检定费；拖延</w:t>
      </w:r>
      <w:r>
        <w:rPr>
          <w:rFonts w:ascii="方正仿宋简体" w:hAnsi="方正仿宋简体" w:eastAsia="方正仿宋简体" w:cs="方正仿宋简体"/>
          <w:bCs/>
          <w:sz w:val="32"/>
          <w:szCs w:val="32"/>
        </w:rPr>
        <w:t>10</w:t>
      </w:r>
      <w:r>
        <w:rPr>
          <w:rFonts w:hint="eastAsia" w:ascii="方正仿宋简体" w:hAnsi="方正仿宋简体" w:eastAsia="方正仿宋简体" w:cs="方正仿宋简体"/>
          <w:bCs/>
          <w:sz w:val="32"/>
          <w:szCs w:val="32"/>
        </w:rPr>
        <w:t>个工作日以上，按检定收费标准的2倍赔偿招标方（</w:t>
      </w:r>
      <w:r>
        <w:rPr>
          <w:rFonts w:hint="eastAsia" w:ascii="方正仿宋简体" w:hAnsi="仿宋_GB2312" w:eastAsia="方正仿宋简体" w:cs="仿宋_GB2312"/>
          <w:sz w:val="32"/>
          <w:szCs w:val="32"/>
        </w:rPr>
        <w:t>如有2次延迟返还的情况发生，招标方将取消合同，并将投标方列入海纳川供应商负面清单）</w:t>
      </w:r>
      <w:r>
        <w:rPr>
          <w:rFonts w:hint="eastAsia" w:ascii="方正仿宋简体" w:hAnsi="方正仿宋简体" w:eastAsia="方正仿宋简体" w:cs="方正仿宋简体"/>
          <w:bCs/>
          <w:sz w:val="32"/>
          <w:szCs w:val="32"/>
        </w:rPr>
        <w:t>。</w:t>
      </w:r>
    </w:p>
    <w:p w14:paraId="2490A030">
      <w:pPr>
        <w:tabs>
          <w:tab w:val="left" w:pos="960"/>
          <w:tab w:val="left" w:pos="1920"/>
          <w:tab w:val="left" w:pos="8222"/>
        </w:tabs>
        <w:spacing w:line="600" w:lineRule="exact"/>
        <w:ind w:firstLine="640" w:firstLineChars="200"/>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2</w:t>
      </w:r>
      <w:r>
        <w:rPr>
          <w:rFonts w:hint="eastAsia" w:ascii="方正仿宋简体" w:hAnsi="方正仿宋简体" w:eastAsia="方正仿宋简体" w:cs="方正仿宋简体"/>
          <w:bCs/>
          <w:sz w:val="32"/>
          <w:szCs w:val="32"/>
        </w:rPr>
        <w:t>.由于中标方的原因造成流量计损坏的，由中标方赔偿损失。</w:t>
      </w:r>
    </w:p>
    <w:p w14:paraId="49C40009">
      <w:pPr>
        <w:spacing w:line="600" w:lineRule="exact"/>
        <w:ind w:firstLine="640" w:firstLineChars="200"/>
        <w:rPr>
          <w:rFonts w:ascii="方正仿宋简体" w:hAnsi="方正仿宋简体" w:eastAsia="方正仿宋简体" w:cs="方正仿宋简体"/>
          <w:bCs/>
          <w:kern w:val="1"/>
          <w:sz w:val="32"/>
          <w:szCs w:val="32"/>
        </w:rPr>
      </w:pPr>
      <w:r>
        <w:rPr>
          <w:rFonts w:ascii="方正仿宋简体" w:hAnsi="方正仿宋简体" w:eastAsia="方正仿宋简体" w:cs="方正仿宋简体"/>
          <w:bCs/>
          <w:kern w:val="1"/>
          <w:sz w:val="32"/>
          <w:szCs w:val="32"/>
        </w:rPr>
        <w:t>3</w:t>
      </w:r>
      <w:r>
        <w:rPr>
          <w:rFonts w:hint="eastAsia" w:ascii="方正仿宋简体" w:hAnsi="方正仿宋简体" w:eastAsia="方正仿宋简体" w:cs="方正仿宋简体"/>
          <w:bCs/>
          <w:kern w:val="1"/>
          <w:sz w:val="32"/>
          <w:szCs w:val="32"/>
        </w:rPr>
        <w:t>.中标方选择解除合同的，招标方有权要求中标方赔偿合同总价款的20%违约金给招标方（如有异议请在报价时注明）。</w:t>
      </w:r>
    </w:p>
    <w:p w14:paraId="40DA1BF7">
      <w:pPr>
        <w:spacing w:line="600" w:lineRule="exact"/>
        <w:ind w:firstLine="640" w:firstLineChars="200"/>
        <w:rPr>
          <w:rFonts w:ascii="方正仿宋简体" w:hAnsi="方正仿宋简体" w:eastAsia="方正仿宋简体" w:cs="方正仿宋简体"/>
          <w:bCs/>
          <w:kern w:val="1"/>
          <w:sz w:val="32"/>
          <w:szCs w:val="32"/>
        </w:rPr>
      </w:pPr>
      <w:r>
        <w:rPr>
          <w:rFonts w:ascii="方正仿宋简体" w:hAnsi="方正仿宋简体" w:eastAsia="方正仿宋简体" w:cs="方正仿宋简体"/>
          <w:bCs/>
          <w:kern w:val="1"/>
          <w:sz w:val="32"/>
          <w:szCs w:val="32"/>
        </w:rPr>
        <w:t>4</w:t>
      </w:r>
      <w:r>
        <w:rPr>
          <w:rFonts w:hint="eastAsia" w:ascii="方正仿宋简体" w:hAnsi="方正仿宋简体" w:eastAsia="方正仿宋简体" w:cs="方正仿宋简体"/>
          <w:bCs/>
          <w:kern w:val="1"/>
          <w:sz w:val="32"/>
          <w:szCs w:val="32"/>
        </w:rPr>
        <w:t>.因中标方的项目质量、逾期完成等原因给招标方造成直接和间接经济损失的，由中标方承担全部责任（如有异议请在报价时注明）。</w:t>
      </w:r>
    </w:p>
    <w:p w14:paraId="6737940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中标方应严格按照标书约定与招标方签定委托合同，并按合同约定做好服务工作。对中标方所有违背标书及合同约定的行为，招标方均可持续保留与中标方中止合作的一切权利。　</w:t>
      </w:r>
    </w:p>
    <w:p w14:paraId="60AE4A19">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投标方在中标后无正当理由不与招标方签订合同的，将承担违约责任，列入招标方供应商负面清单。</w:t>
      </w:r>
    </w:p>
    <w:p w14:paraId="308B392A">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rPr>
        <w:t>投标方应详细阅读本招标书，参与报价投标即视为对本招标书所列之条款均表示接受。</w:t>
      </w:r>
    </w:p>
    <w:p w14:paraId="4C32E3CD">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招标方对违反约定的投标方或中标方将按《镇江海纳川物流产业发展有限责任公司招标采购管理规定》中供应商管理对投标方进行管理考核（详见附件1）。</w:t>
      </w:r>
    </w:p>
    <w:p w14:paraId="1DE0E4B8">
      <w:pPr>
        <w:pStyle w:val="5"/>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外协作业人员需先进行安全教育培训。</w:t>
      </w:r>
    </w:p>
    <w:p w14:paraId="16C3AFEF">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（十）</w:t>
      </w:r>
      <w:r>
        <w:rPr>
          <w:rFonts w:hint="eastAsia" w:ascii="方正仿宋简体" w:hAnsi="方正仿宋简体" w:eastAsia="方正仿宋简体" w:cs="方正仿宋简体"/>
          <w:bCs/>
          <w:kern w:val="1"/>
          <w:sz w:val="32"/>
          <w:szCs w:val="32"/>
        </w:rPr>
        <w:t>本次招标为企业自主公开招标，属生产经营性商务行为，解释权归镇江海纳川物流产业发展有限责任公司所有。</w:t>
      </w:r>
    </w:p>
    <w:p w14:paraId="5875BD97">
      <w:pPr>
        <w:rPr>
          <w:rFonts w:ascii="方正小标宋简体" w:hAnsi="方正小标宋简体" w:eastAsia="方正小标宋简体" w:cs="方正小标宋简体"/>
          <w:sz w:val="44"/>
          <w:szCs w:val="44"/>
        </w:rPr>
      </w:pPr>
    </w:p>
    <w:p w14:paraId="2131994F">
      <w:pPr>
        <w:pStyle w:val="5"/>
      </w:pPr>
    </w:p>
    <w:p w14:paraId="6B08D642">
      <w:pPr>
        <w:pStyle w:val="3"/>
        <w:jc w:val="both"/>
        <w:rPr>
          <w:rFonts w:ascii="Arial" w:hAnsi="Arial" w:eastAsia="黑体"/>
          <w:b/>
          <w:kern w:val="2"/>
          <w:sz w:val="32"/>
        </w:rPr>
      </w:pPr>
    </w:p>
    <w:p w14:paraId="2F99EB2A"/>
    <w:p w14:paraId="645C8078">
      <w:pPr>
        <w:pStyle w:val="3"/>
        <w:rPr>
          <w:rFonts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报价函</w:t>
      </w:r>
    </w:p>
    <w:p w14:paraId="331BF1CB">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镇江海纳川物流产业发展有限责任公司：</w:t>
      </w:r>
    </w:p>
    <w:p w14:paraId="749AF5D9">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；授权全权代表姓名、职务、职称：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为全权代表，参加贵方组织的招标有关活动，并对该项目进行投标。</w:t>
      </w:r>
    </w:p>
    <w:p w14:paraId="15B1C119">
      <w:pPr>
        <w:numPr>
          <w:ilvl w:val="0"/>
          <w:numId w:val="1"/>
        </w:num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投标项目的总投标价（含税）为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300D1230">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3"/>
        <w:tblW w:w="8886" w:type="dxa"/>
        <w:jc w:val="center"/>
        <w:tblLayout w:type="fixed"/>
        <w:tblCellMar>
          <w:top w:w="0" w:type="dxa"/>
          <w:left w:w="108" w:type="dxa"/>
          <w:bottom w:w="0" w:type="dxa"/>
          <w:right w:w="108" w:type="dxa"/>
        </w:tblCellMar>
      </w:tblPr>
      <w:tblGrid>
        <w:gridCol w:w="2972"/>
        <w:gridCol w:w="992"/>
        <w:gridCol w:w="1713"/>
        <w:gridCol w:w="1701"/>
        <w:gridCol w:w="1508"/>
      </w:tblGrid>
      <w:tr w14:paraId="5D6E0685">
        <w:tblPrEx>
          <w:tblCellMar>
            <w:top w:w="0" w:type="dxa"/>
            <w:left w:w="108" w:type="dxa"/>
            <w:bottom w:w="0" w:type="dxa"/>
            <w:right w:w="108" w:type="dxa"/>
          </w:tblCellMar>
        </w:tblPrEx>
        <w:trPr>
          <w:trHeight w:val="558" w:hRule="exac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254CCD1A">
            <w:pPr>
              <w:spacing w:line="360" w:lineRule="auto"/>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流量计</w:t>
            </w:r>
            <w:r>
              <w:rPr>
                <w:rFonts w:ascii="方正仿宋简体" w:hAnsi="仿宋_GB2312" w:eastAsia="方正仿宋简体" w:cs="仿宋_GB2312"/>
                <w:sz w:val="24"/>
                <w:szCs w:val="24"/>
              </w:rPr>
              <w:t>检定项目</w:t>
            </w:r>
          </w:p>
        </w:tc>
        <w:tc>
          <w:tcPr>
            <w:tcW w:w="992" w:type="dxa"/>
            <w:tcBorders>
              <w:top w:val="single" w:color="000000" w:sz="4" w:space="0"/>
              <w:left w:val="single" w:color="000000" w:sz="4" w:space="0"/>
              <w:bottom w:val="single" w:color="000000" w:sz="4" w:space="0"/>
              <w:right w:val="single" w:color="000000" w:sz="4" w:space="0"/>
            </w:tcBorders>
          </w:tcPr>
          <w:p w14:paraId="304E2ECD">
            <w:pPr>
              <w:spacing w:line="360" w:lineRule="auto"/>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数量</w:t>
            </w:r>
          </w:p>
        </w:tc>
        <w:tc>
          <w:tcPr>
            <w:tcW w:w="1713" w:type="dxa"/>
            <w:tcBorders>
              <w:top w:val="single" w:color="000000" w:sz="4" w:space="0"/>
              <w:left w:val="single" w:color="000000" w:sz="4" w:space="0"/>
              <w:bottom w:val="single" w:color="000000" w:sz="4" w:space="0"/>
              <w:right w:val="single" w:color="000000" w:sz="4" w:space="0"/>
            </w:tcBorders>
          </w:tcPr>
          <w:p w14:paraId="10535D1D">
            <w:pPr>
              <w:spacing w:line="360" w:lineRule="auto"/>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单价（含税）</w:t>
            </w:r>
          </w:p>
        </w:tc>
        <w:tc>
          <w:tcPr>
            <w:tcW w:w="1701" w:type="dxa"/>
            <w:tcBorders>
              <w:top w:val="single" w:color="000000" w:sz="4" w:space="0"/>
              <w:left w:val="single" w:color="000000" w:sz="4" w:space="0"/>
              <w:bottom w:val="single" w:color="000000" w:sz="4" w:space="0"/>
              <w:right w:val="single" w:color="000000" w:sz="4" w:space="0"/>
            </w:tcBorders>
            <w:vAlign w:val="center"/>
          </w:tcPr>
          <w:p w14:paraId="31C03195">
            <w:pPr>
              <w:spacing w:line="360" w:lineRule="auto"/>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总价（含税）</w:t>
            </w:r>
          </w:p>
        </w:tc>
        <w:tc>
          <w:tcPr>
            <w:tcW w:w="1508" w:type="dxa"/>
            <w:tcBorders>
              <w:top w:val="single" w:color="000000" w:sz="4" w:space="0"/>
              <w:left w:val="single" w:color="000000" w:sz="4" w:space="0"/>
              <w:bottom w:val="single" w:color="000000" w:sz="4" w:space="0"/>
              <w:right w:val="single" w:color="000000" w:sz="4" w:space="0"/>
            </w:tcBorders>
            <w:vAlign w:val="center"/>
          </w:tcPr>
          <w:p w14:paraId="12045C31">
            <w:pPr>
              <w:spacing w:line="360" w:lineRule="auto"/>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备注</w:t>
            </w:r>
          </w:p>
        </w:tc>
      </w:tr>
      <w:tr w14:paraId="5C2CF6A2">
        <w:tblPrEx>
          <w:tblCellMar>
            <w:top w:w="0" w:type="dxa"/>
            <w:left w:w="108" w:type="dxa"/>
            <w:bottom w:w="0" w:type="dxa"/>
            <w:right w:w="108" w:type="dxa"/>
          </w:tblCellMar>
        </w:tblPrEx>
        <w:trPr>
          <w:trHeight w:val="567" w:hRule="atLeast"/>
          <w:jc w:val="center"/>
        </w:trPr>
        <w:tc>
          <w:tcPr>
            <w:tcW w:w="2972" w:type="dxa"/>
            <w:tcBorders>
              <w:top w:val="single" w:color="000000" w:sz="4" w:space="0"/>
              <w:left w:val="single" w:color="000000" w:sz="4" w:space="0"/>
              <w:right w:val="single" w:color="000000" w:sz="4" w:space="0"/>
            </w:tcBorders>
            <w:vAlign w:val="center"/>
          </w:tcPr>
          <w:p w14:paraId="7942C82B">
            <w:pPr>
              <w:spacing w:line="36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科里奥利质量流量计 DN50mm</w:t>
            </w:r>
          </w:p>
        </w:tc>
        <w:tc>
          <w:tcPr>
            <w:tcW w:w="992" w:type="dxa"/>
            <w:tcBorders>
              <w:top w:val="nil"/>
              <w:left w:val="nil"/>
              <w:bottom w:val="single" w:color="000000" w:sz="4" w:space="0"/>
              <w:right w:val="single" w:color="000000" w:sz="4" w:space="0"/>
            </w:tcBorders>
          </w:tcPr>
          <w:p w14:paraId="433EF5EF">
            <w:pPr>
              <w:widowControl/>
              <w:jc w:val="left"/>
              <w:rPr>
                <w:rFonts w:ascii="方正仿宋简体" w:hAnsi="仿宋_GB2312" w:eastAsia="方正仿宋简体" w:cs="仿宋_GB2312"/>
                <w:sz w:val="24"/>
                <w:szCs w:val="24"/>
              </w:rPr>
            </w:pPr>
            <w:r>
              <w:rPr>
                <w:rFonts w:ascii="方正仿宋简体" w:hAnsi="仿宋_GB2312" w:eastAsia="方正仿宋简体" w:cs="仿宋_GB2312"/>
                <w:sz w:val="24"/>
                <w:szCs w:val="24"/>
              </w:rPr>
              <w:t>12</w:t>
            </w:r>
            <w:r>
              <w:rPr>
                <w:rFonts w:hint="eastAsia" w:ascii="方正仿宋简体" w:hAnsi="仿宋_GB2312" w:eastAsia="方正仿宋简体" w:cs="仿宋_GB2312"/>
                <w:sz w:val="24"/>
                <w:szCs w:val="24"/>
              </w:rPr>
              <w:t>台</w:t>
            </w:r>
          </w:p>
        </w:tc>
        <w:tc>
          <w:tcPr>
            <w:tcW w:w="1713" w:type="dxa"/>
            <w:tcBorders>
              <w:top w:val="single" w:color="000000" w:sz="4" w:space="0"/>
              <w:left w:val="single" w:color="000000" w:sz="4" w:space="0"/>
              <w:right w:val="single" w:color="000000" w:sz="4" w:space="0"/>
            </w:tcBorders>
            <w:vAlign w:val="center"/>
          </w:tcPr>
          <w:p w14:paraId="40D2A905">
            <w:pPr>
              <w:spacing w:line="360" w:lineRule="exact"/>
              <w:jc w:val="center"/>
              <w:rPr>
                <w:rFonts w:ascii="方正仿宋简体" w:hAnsi="仿宋_GB2312" w:eastAsia="方正仿宋简体" w:cs="仿宋_GB2312"/>
                <w:sz w:val="24"/>
                <w:szCs w:val="24"/>
              </w:rPr>
            </w:pPr>
          </w:p>
        </w:tc>
        <w:tc>
          <w:tcPr>
            <w:tcW w:w="1701" w:type="dxa"/>
            <w:tcBorders>
              <w:top w:val="single" w:color="000000" w:sz="4" w:space="0"/>
              <w:left w:val="single" w:color="000000" w:sz="4" w:space="0"/>
              <w:right w:val="single" w:color="000000" w:sz="4" w:space="0"/>
            </w:tcBorders>
            <w:vAlign w:val="center"/>
          </w:tcPr>
          <w:p w14:paraId="6CC85A98">
            <w:pPr>
              <w:spacing w:line="360" w:lineRule="exact"/>
              <w:jc w:val="center"/>
              <w:rPr>
                <w:rFonts w:ascii="方正仿宋简体" w:hAnsi="仿宋_GB2312" w:eastAsia="方正仿宋简体" w:cs="仿宋_GB2312"/>
                <w:sz w:val="24"/>
                <w:szCs w:val="24"/>
              </w:rPr>
            </w:pPr>
          </w:p>
        </w:tc>
        <w:tc>
          <w:tcPr>
            <w:tcW w:w="1508" w:type="dxa"/>
            <w:vMerge w:val="restart"/>
            <w:tcBorders>
              <w:top w:val="single" w:color="000000" w:sz="4" w:space="0"/>
              <w:left w:val="single" w:color="000000" w:sz="4" w:space="0"/>
              <w:right w:val="single" w:color="000000" w:sz="4" w:space="0"/>
            </w:tcBorders>
            <w:vAlign w:val="center"/>
          </w:tcPr>
          <w:p w14:paraId="01CB8CBF">
            <w:pPr>
              <w:spacing w:line="360" w:lineRule="auto"/>
              <w:jc w:val="left"/>
              <w:rPr>
                <w:rFonts w:hint="eastAsia" w:ascii="方正仿宋简体" w:hAnsi="仿宋_GB2312" w:eastAsia="方正仿宋简体" w:cs="仿宋_GB2312"/>
                <w:sz w:val="24"/>
                <w:szCs w:val="24"/>
              </w:rPr>
            </w:pPr>
            <w:r>
              <w:rPr>
                <w:rFonts w:hint="eastAsia" w:ascii="方正仿宋简体" w:hAnsi="仿宋_GB2312" w:eastAsia="方正仿宋简体" w:cs="仿宋_GB2312"/>
                <w:color w:val="FF0000"/>
                <w:sz w:val="24"/>
                <w:szCs w:val="24"/>
              </w:rPr>
              <w:t>检定</w:t>
            </w:r>
            <w:r>
              <w:rPr>
                <w:rFonts w:ascii="方正仿宋简体" w:hAnsi="仿宋_GB2312" w:eastAsia="方正仿宋简体" w:cs="仿宋_GB2312"/>
                <w:color w:val="FF0000"/>
                <w:sz w:val="24"/>
                <w:szCs w:val="24"/>
              </w:rPr>
              <w:t>证书</w:t>
            </w:r>
            <w:r>
              <w:rPr>
                <w:rFonts w:hint="eastAsia" w:ascii="方正仿宋简体" w:hAnsi="仿宋_GB2312" w:eastAsia="方正仿宋简体" w:cs="仿宋_GB2312"/>
                <w:color w:val="FF0000"/>
                <w:sz w:val="24"/>
                <w:szCs w:val="24"/>
              </w:rPr>
              <w:t>的</w:t>
            </w:r>
            <w:r>
              <w:rPr>
                <w:rFonts w:ascii="方正仿宋简体" w:hAnsi="仿宋_GB2312" w:eastAsia="方正仿宋简体" w:cs="仿宋_GB2312"/>
                <w:color w:val="FF0000"/>
                <w:sz w:val="24"/>
                <w:szCs w:val="24"/>
              </w:rPr>
              <w:t>检定结果</w:t>
            </w:r>
            <w:r>
              <w:rPr>
                <w:rFonts w:hint="eastAsia" w:ascii="方正仿宋简体" w:hAnsi="仿宋_GB2312" w:eastAsia="方正仿宋简体" w:cs="仿宋_GB2312"/>
                <w:color w:val="FF0000"/>
                <w:sz w:val="24"/>
                <w:szCs w:val="24"/>
              </w:rPr>
              <w:t>必须</w:t>
            </w:r>
            <w:r>
              <w:rPr>
                <w:rFonts w:ascii="方正仿宋简体" w:hAnsi="仿宋_GB2312" w:eastAsia="方正仿宋简体" w:cs="仿宋_GB2312"/>
                <w:color w:val="FF0000"/>
                <w:sz w:val="24"/>
                <w:szCs w:val="24"/>
              </w:rPr>
              <w:t>有至少4</w:t>
            </w:r>
            <w:r>
              <w:rPr>
                <w:rFonts w:hint="eastAsia" w:ascii="方正仿宋简体" w:hAnsi="仿宋_GB2312" w:eastAsia="方正仿宋简体" w:cs="仿宋_GB2312"/>
                <w:color w:val="FF0000"/>
                <w:sz w:val="24"/>
                <w:szCs w:val="24"/>
              </w:rPr>
              <w:t>个</w:t>
            </w:r>
            <w:r>
              <w:rPr>
                <w:rFonts w:ascii="方正仿宋简体" w:hAnsi="仿宋_GB2312" w:eastAsia="方正仿宋简体" w:cs="仿宋_GB2312"/>
                <w:color w:val="FF0000"/>
                <w:sz w:val="24"/>
                <w:szCs w:val="24"/>
              </w:rPr>
              <w:t>点的</w:t>
            </w:r>
            <w:r>
              <w:rPr>
                <w:rFonts w:hint="eastAsia" w:ascii="方正仿宋简体" w:hAnsi="仿宋_GB2312" w:eastAsia="方正仿宋简体" w:cs="仿宋_GB2312"/>
                <w:color w:val="FF0000"/>
                <w:sz w:val="24"/>
                <w:szCs w:val="24"/>
              </w:rPr>
              <w:t>示值</w:t>
            </w:r>
            <w:r>
              <w:rPr>
                <w:rFonts w:ascii="方正仿宋简体" w:hAnsi="仿宋_GB2312" w:eastAsia="方正仿宋简体" w:cs="仿宋_GB2312"/>
                <w:color w:val="FF0000"/>
                <w:sz w:val="24"/>
                <w:szCs w:val="24"/>
              </w:rPr>
              <w:t>误差和重复性</w:t>
            </w:r>
            <w:r>
              <w:rPr>
                <w:rFonts w:hint="eastAsia" w:ascii="方正仿宋简体" w:hAnsi="仿宋_GB2312" w:eastAsia="方正仿宋简体" w:cs="仿宋_GB2312"/>
                <w:color w:val="FF0000"/>
                <w:sz w:val="24"/>
                <w:szCs w:val="24"/>
              </w:rPr>
              <w:t>数据</w:t>
            </w:r>
            <w:r>
              <w:rPr>
                <w:rFonts w:ascii="方正仿宋简体" w:hAnsi="仿宋_GB2312" w:eastAsia="方正仿宋简体" w:cs="仿宋_GB2312"/>
                <w:color w:val="FF0000"/>
                <w:sz w:val="24"/>
                <w:szCs w:val="24"/>
              </w:rPr>
              <w:t>。</w:t>
            </w:r>
          </w:p>
        </w:tc>
      </w:tr>
      <w:tr w14:paraId="5EA26BBA">
        <w:tblPrEx>
          <w:tblCellMar>
            <w:top w:w="0" w:type="dxa"/>
            <w:left w:w="108" w:type="dxa"/>
            <w:bottom w:w="0" w:type="dxa"/>
            <w:right w:w="108" w:type="dxa"/>
          </w:tblCellMar>
        </w:tblPrEx>
        <w:trPr>
          <w:trHeight w:val="567" w:hRule="atLeast"/>
          <w:jc w:val="center"/>
        </w:trPr>
        <w:tc>
          <w:tcPr>
            <w:tcW w:w="2972" w:type="dxa"/>
            <w:tcBorders>
              <w:top w:val="single" w:color="000000" w:sz="4" w:space="0"/>
              <w:left w:val="single" w:color="000000" w:sz="4" w:space="0"/>
              <w:right w:val="single" w:color="000000" w:sz="4" w:space="0"/>
            </w:tcBorders>
            <w:vAlign w:val="center"/>
          </w:tcPr>
          <w:p w14:paraId="6570F2C0">
            <w:pPr>
              <w:spacing w:line="36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科里奥利质量流量计 DN(80～100)mm</w:t>
            </w:r>
          </w:p>
        </w:tc>
        <w:tc>
          <w:tcPr>
            <w:tcW w:w="992" w:type="dxa"/>
            <w:tcBorders>
              <w:top w:val="nil"/>
              <w:left w:val="nil"/>
              <w:bottom w:val="single" w:color="000000" w:sz="4" w:space="0"/>
              <w:right w:val="single" w:color="000000" w:sz="4" w:space="0"/>
            </w:tcBorders>
          </w:tcPr>
          <w:p w14:paraId="478659C6">
            <w:pPr>
              <w:widowControl/>
              <w:jc w:val="left"/>
              <w:rPr>
                <w:rFonts w:ascii="方正仿宋简体" w:hAnsi="仿宋_GB2312" w:eastAsia="方正仿宋简体" w:cs="仿宋_GB2312"/>
                <w:sz w:val="24"/>
                <w:szCs w:val="24"/>
              </w:rPr>
            </w:pPr>
            <w:r>
              <w:rPr>
                <w:rFonts w:ascii="方正仿宋简体" w:hAnsi="仿宋_GB2312" w:eastAsia="方正仿宋简体" w:cs="仿宋_GB2312"/>
                <w:sz w:val="24"/>
                <w:szCs w:val="24"/>
              </w:rPr>
              <w:t>50</w:t>
            </w:r>
            <w:r>
              <w:rPr>
                <w:rFonts w:hint="eastAsia" w:ascii="方正仿宋简体" w:hAnsi="仿宋_GB2312" w:eastAsia="方正仿宋简体" w:cs="仿宋_GB2312"/>
                <w:sz w:val="24"/>
                <w:szCs w:val="24"/>
              </w:rPr>
              <w:t>台</w:t>
            </w:r>
          </w:p>
        </w:tc>
        <w:tc>
          <w:tcPr>
            <w:tcW w:w="1713" w:type="dxa"/>
            <w:tcBorders>
              <w:top w:val="single" w:color="000000" w:sz="4" w:space="0"/>
              <w:left w:val="single" w:color="000000" w:sz="4" w:space="0"/>
              <w:right w:val="single" w:color="000000" w:sz="4" w:space="0"/>
            </w:tcBorders>
            <w:vAlign w:val="center"/>
          </w:tcPr>
          <w:p w14:paraId="6D09F5F5">
            <w:pPr>
              <w:spacing w:line="360" w:lineRule="exact"/>
              <w:jc w:val="center"/>
              <w:rPr>
                <w:rFonts w:ascii="方正仿宋简体" w:hAnsi="仿宋_GB2312" w:eastAsia="方正仿宋简体" w:cs="仿宋_GB2312"/>
                <w:sz w:val="24"/>
                <w:szCs w:val="24"/>
              </w:rPr>
            </w:pPr>
          </w:p>
        </w:tc>
        <w:tc>
          <w:tcPr>
            <w:tcW w:w="1701" w:type="dxa"/>
            <w:tcBorders>
              <w:top w:val="single" w:color="000000" w:sz="4" w:space="0"/>
              <w:left w:val="single" w:color="000000" w:sz="4" w:space="0"/>
              <w:right w:val="single" w:color="000000" w:sz="4" w:space="0"/>
            </w:tcBorders>
            <w:vAlign w:val="center"/>
          </w:tcPr>
          <w:p w14:paraId="514DCCF6">
            <w:pPr>
              <w:spacing w:line="360" w:lineRule="exact"/>
              <w:jc w:val="center"/>
              <w:rPr>
                <w:rFonts w:ascii="方正仿宋简体" w:hAnsi="仿宋_GB2312" w:eastAsia="方正仿宋简体" w:cs="仿宋_GB2312"/>
                <w:sz w:val="24"/>
                <w:szCs w:val="24"/>
              </w:rPr>
            </w:pPr>
          </w:p>
        </w:tc>
        <w:tc>
          <w:tcPr>
            <w:tcW w:w="1508" w:type="dxa"/>
            <w:vMerge w:val="continue"/>
            <w:tcBorders>
              <w:left w:val="single" w:color="000000" w:sz="4" w:space="0"/>
              <w:right w:val="single" w:color="000000" w:sz="4" w:space="0"/>
            </w:tcBorders>
            <w:vAlign w:val="center"/>
          </w:tcPr>
          <w:p w14:paraId="317ABC32">
            <w:pPr>
              <w:spacing w:line="360" w:lineRule="auto"/>
              <w:ind w:firstLine="480" w:firstLineChars="200"/>
              <w:jc w:val="center"/>
              <w:rPr>
                <w:rFonts w:ascii="方正仿宋简体" w:hAnsi="仿宋_GB2312" w:eastAsia="方正仿宋简体" w:cs="仿宋_GB2312"/>
                <w:sz w:val="24"/>
                <w:szCs w:val="24"/>
              </w:rPr>
            </w:pPr>
          </w:p>
        </w:tc>
      </w:tr>
      <w:tr w14:paraId="34D41B12">
        <w:tblPrEx>
          <w:tblCellMar>
            <w:top w:w="0" w:type="dxa"/>
            <w:left w:w="108" w:type="dxa"/>
            <w:bottom w:w="0" w:type="dxa"/>
            <w:right w:w="108" w:type="dxa"/>
          </w:tblCellMar>
        </w:tblPrEx>
        <w:trPr>
          <w:trHeight w:val="567" w:hRule="atLeast"/>
          <w:jc w:val="center"/>
        </w:trPr>
        <w:tc>
          <w:tcPr>
            <w:tcW w:w="2972" w:type="dxa"/>
            <w:tcBorders>
              <w:top w:val="single" w:color="000000" w:sz="4" w:space="0"/>
              <w:left w:val="single" w:color="000000" w:sz="4" w:space="0"/>
              <w:right w:val="single" w:color="000000" w:sz="4" w:space="0"/>
            </w:tcBorders>
            <w:vAlign w:val="center"/>
          </w:tcPr>
          <w:p w14:paraId="02CF3CBA">
            <w:pPr>
              <w:spacing w:line="36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科里奥利质量流量计DN</w:t>
            </w:r>
            <w:r>
              <w:rPr>
                <w:rFonts w:ascii="方正仿宋简体" w:hAnsi="仿宋_GB2312" w:eastAsia="方正仿宋简体" w:cs="仿宋_GB2312"/>
                <w:sz w:val="24"/>
                <w:szCs w:val="24"/>
              </w:rPr>
              <w:t>150</w:t>
            </w:r>
            <w:r>
              <w:rPr>
                <w:rFonts w:hint="eastAsia" w:ascii="方正仿宋简体" w:hAnsi="仿宋_GB2312" w:eastAsia="方正仿宋简体" w:cs="仿宋_GB2312"/>
                <w:sz w:val="24"/>
                <w:szCs w:val="24"/>
              </w:rPr>
              <w:t>mm</w:t>
            </w:r>
          </w:p>
        </w:tc>
        <w:tc>
          <w:tcPr>
            <w:tcW w:w="992" w:type="dxa"/>
            <w:tcBorders>
              <w:top w:val="nil"/>
              <w:left w:val="nil"/>
              <w:bottom w:val="single" w:color="000000" w:sz="4" w:space="0"/>
              <w:right w:val="single" w:color="000000" w:sz="4" w:space="0"/>
            </w:tcBorders>
          </w:tcPr>
          <w:p w14:paraId="7395A763">
            <w:pPr>
              <w:widowControl/>
              <w:jc w:val="left"/>
              <w:rPr>
                <w:rFonts w:ascii="方正仿宋简体" w:hAnsi="仿宋_GB2312" w:eastAsia="方正仿宋简体" w:cs="仿宋_GB2312"/>
                <w:sz w:val="24"/>
                <w:szCs w:val="24"/>
              </w:rPr>
            </w:pPr>
            <w:r>
              <w:rPr>
                <w:rFonts w:ascii="方正仿宋简体" w:hAnsi="仿宋_GB2312" w:eastAsia="方正仿宋简体" w:cs="仿宋_GB2312"/>
                <w:sz w:val="24"/>
                <w:szCs w:val="24"/>
              </w:rPr>
              <w:t>5</w:t>
            </w:r>
            <w:r>
              <w:rPr>
                <w:rFonts w:hint="eastAsia" w:ascii="方正仿宋简体" w:hAnsi="仿宋_GB2312" w:eastAsia="方正仿宋简体" w:cs="仿宋_GB2312"/>
                <w:sz w:val="24"/>
                <w:szCs w:val="24"/>
              </w:rPr>
              <w:t>台</w:t>
            </w:r>
          </w:p>
        </w:tc>
        <w:tc>
          <w:tcPr>
            <w:tcW w:w="1713" w:type="dxa"/>
            <w:tcBorders>
              <w:top w:val="single" w:color="000000" w:sz="4" w:space="0"/>
              <w:left w:val="single" w:color="000000" w:sz="4" w:space="0"/>
              <w:right w:val="single" w:color="000000" w:sz="4" w:space="0"/>
            </w:tcBorders>
            <w:vAlign w:val="center"/>
          </w:tcPr>
          <w:p w14:paraId="3A675DAD">
            <w:pPr>
              <w:spacing w:line="360" w:lineRule="exact"/>
              <w:jc w:val="center"/>
              <w:rPr>
                <w:rFonts w:ascii="方正仿宋简体" w:hAnsi="仿宋_GB2312" w:eastAsia="方正仿宋简体" w:cs="仿宋_GB2312"/>
                <w:sz w:val="24"/>
                <w:szCs w:val="24"/>
              </w:rPr>
            </w:pPr>
          </w:p>
        </w:tc>
        <w:tc>
          <w:tcPr>
            <w:tcW w:w="1701" w:type="dxa"/>
            <w:tcBorders>
              <w:top w:val="single" w:color="000000" w:sz="4" w:space="0"/>
              <w:left w:val="single" w:color="000000" w:sz="4" w:space="0"/>
              <w:right w:val="single" w:color="000000" w:sz="4" w:space="0"/>
            </w:tcBorders>
            <w:vAlign w:val="center"/>
          </w:tcPr>
          <w:p w14:paraId="0F88998B">
            <w:pPr>
              <w:spacing w:line="360" w:lineRule="exact"/>
              <w:jc w:val="center"/>
              <w:rPr>
                <w:rFonts w:ascii="方正仿宋简体" w:hAnsi="仿宋_GB2312" w:eastAsia="方正仿宋简体" w:cs="仿宋_GB2312"/>
                <w:sz w:val="24"/>
                <w:szCs w:val="24"/>
              </w:rPr>
            </w:pPr>
          </w:p>
        </w:tc>
        <w:tc>
          <w:tcPr>
            <w:tcW w:w="1508" w:type="dxa"/>
            <w:vMerge w:val="continue"/>
            <w:tcBorders>
              <w:left w:val="single" w:color="000000" w:sz="4" w:space="0"/>
              <w:right w:val="single" w:color="000000" w:sz="4" w:space="0"/>
            </w:tcBorders>
            <w:vAlign w:val="center"/>
          </w:tcPr>
          <w:p w14:paraId="29D1670E">
            <w:pPr>
              <w:spacing w:line="360" w:lineRule="auto"/>
              <w:ind w:firstLine="480" w:firstLineChars="200"/>
              <w:jc w:val="center"/>
              <w:rPr>
                <w:rFonts w:ascii="方正仿宋简体" w:hAnsi="仿宋_GB2312" w:eastAsia="方正仿宋简体" w:cs="仿宋_GB2312"/>
                <w:sz w:val="24"/>
                <w:szCs w:val="24"/>
              </w:rPr>
            </w:pPr>
          </w:p>
        </w:tc>
      </w:tr>
      <w:tr w14:paraId="27D37E2F">
        <w:tblPrEx>
          <w:tblCellMar>
            <w:top w:w="0" w:type="dxa"/>
            <w:left w:w="108" w:type="dxa"/>
            <w:bottom w:w="0" w:type="dxa"/>
            <w:right w:w="108" w:type="dxa"/>
          </w:tblCellMar>
        </w:tblPrEx>
        <w:trPr>
          <w:trHeight w:val="567" w:hRule="atLeast"/>
          <w:jc w:val="center"/>
        </w:trPr>
        <w:tc>
          <w:tcPr>
            <w:tcW w:w="2972" w:type="dxa"/>
            <w:tcBorders>
              <w:top w:val="single" w:color="000000" w:sz="4" w:space="0"/>
              <w:left w:val="single" w:color="000000" w:sz="4" w:space="0"/>
              <w:right w:val="single" w:color="000000" w:sz="4" w:space="0"/>
            </w:tcBorders>
            <w:vAlign w:val="center"/>
          </w:tcPr>
          <w:p w14:paraId="3F051D9B">
            <w:pPr>
              <w:spacing w:line="36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电磁流量计（液体）   DN50mm</w:t>
            </w:r>
          </w:p>
        </w:tc>
        <w:tc>
          <w:tcPr>
            <w:tcW w:w="992" w:type="dxa"/>
            <w:tcBorders>
              <w:top w:val="nil"/>
              <w:left w:val="nil"/>
              <w:bottom w:val="single" w:color="000000" w:sz="4" w:space="0"/>
              <w:right w:val="single" w:color="000000" w:sz="4" w:space="0"/>
            </w:tcBorders>
          </w:tcPr>
          <w:p w14:paraId="190B745B">
            <w:pPr>
              <w:widowControl/>
              <w:jc w:val="left"/>
              <w:rPr>
                <w:rFonts w:ascii="方正仿宋简体" w:hAnsi="仿宋_GB2312" w:eastAsia="方正仿宋简体" w:cs="仿宋_GB2312"/>
                <w:sz w:val="24"/>
                <w:szCs w:val="24"/>
              </w:rPr>
            </w:pPr>
            <w:r>
              <w:rPr>
                <w:rFonts w:ascii="方正仿宋简体" w:hAnsi="仿宋_GB2312" w:eastAsia="方正仿宋简体" w:cs="仿宋_GB2312"/>
                <w:sz w:val="24"/>
                <w:szCs w:val="24"/>
              </w:rPr>
              <w:t>5</w:t>
            </w:r>
            <w:r>
              <w:rPr>
                <w:rFonts w:hint="eastAsia" w:ascii="方正仿宋简体" w:hAnsi="仿宋_GB2312" w:eastAsia="方正仿宋简体" w:cs="仿宋_GB2312"/>
                <w:sz w:val="24"/>
                <w:szCs w:val="24"/>
              </w:rPr>
              <w:t>台</w:t>
            </w:r>
          </w:p>
        </w:tc>
        <w:tc>
          <w:tcPr>
            <w:tcW w:w="1713" w:type="dxa"/>
            <w:tcBorders>
              <w:top w:val="single" w:color="000000" w:sz="4" w:space="0"/>
              <w:left w:val="single" w:color="000000" w:sz="4" w:space="0"/>
              <w:right w:val="single" w:color="000000" w:sz="4" w:space="0"/>
            </w:tcBorders>
            <w:vAlign w:val="center"/>
          </w:tcPr>
          <w:p w14:paraId="4DC46630">
            <w:pPr>
              <w:spacing w:line="360" w:lineRule="exact"/>
              <w:jc w:val="center"/>
              <w:rPr>
                <w:rFonts w:ascii="方正仿宋简体" w:hAnsi="仿宋_GB2312" w:eastAsia="方正仿宋简体" w:cs="仿宋_GB2312"/>
                <w:sz w:val="24"/>
                <w:szCs w:val="24"/>
              </w:rPr>
            </w:pPr>
          </w:p>
        </w:tc>
        <w:tc>
          <w:tcPr>
            <w:tcW w:w="1701" w:type="dxa"/>
            <w:tcBorders>
              <w:top w:val="single" w:color="000000" w:sz="4" w:space="0"/>
              <w:left w:val="single" w:color="000000" w:sz="4" w:space="0"/>
              <w:right w:val="single" w:color="000000" w:sz="4" w:space="0"/>
            </w:tcBorders>
            <w:vAlign w:val="center"/>
          </w:tcPr>
          <w:p w14:paraId="2C5A302A">
            <w:pPr>
              <w:spacing w:line="360" w:lineRule="exact"/>
              <w:jc w:val="center"/>
              <w:rPr>
                <w:rFonts w:ascii="方正仿宋简体" w:hAnsi="仿宋_GB2312" w:eastAsia="方正仿宋简体" w:cs="仿宋_GB2312"/>
                <w:sz w:val="24"/>
                <w:szCs w:val="24"/>
              </w:rPr>
            </w:pPr>
          </w:p>
        </w:tc>
        <w:tc>
          <w:tcPr>
            <w:tcW w:w="1508" w:type="dxa"/>
            <w:vMerge w:val="continue"/>
            <w:tcBorders>
              <w:left w:val="single" w:color="000000" w:sz="4" w:space="0"/>
              <w:right w:val="single" w:color="000000" w:sz="4" w:space="0"/>
            </w:tcBorders>
            <w:vAlign w:val="center"/>
          </w:tcPr>
          <w:p w14:paraId="522A687D">
            <w:pPr>
              <w:spacing w:line="360" w:lineRule="auto"/>
              <w:ind w:firstLine="480" w:firstLineChars="200"/>
              <w:jc w:val="center"/>
              <w:rPr>
                <w:rFonts w:ascii="方正仿宋简体" w:hAnsi="仿宋_GB2312" w:eastAsia="方正仿宋简体" w:cs="仿宋_GB2312"/>
                <w:sz w:val="24"/>
                <w:szCs w:val="24"/>
              </w:rPr>
            </w:pPr>
          </w:p>
        </w:tc>
      </w:tr>
      <w:tr w14:paraId="319D0042">
        <w:tblPrEx>
          <w:tblCellMar>
            <w:top w:w="0" w:type="dxa"/>
            <w:left w:w="108" w:type="dxa"/>
            <w:bottom w:w="0" w:type="dxa"/>
            <w:right w:w="108" w:type="dxa"/>
          </w:tblCellMar>
        </w:tblPrEx>
        <w:trPr>
          <w:trHeight w:val="567" w:hRule="atLeast"/>
          <w:jc w:val="center"/>
        </w:trPr>
        <w:tc>
          <w:tcPr>
            <w:tcW w:w="2972" w:type="dxa"/>
            <w:tcBorders>
              <w:top w:val="single" w:color="000000" w:sz="4" w:space="0"/>
              <w:left w:val="single" w:color="000000" w:sz="4" w:space="0"/>
              <w:right w:val="single" w:color="000000" w:sz="4" w:space="0"/>
            </w:tcBorders>
            <w:vAlign w:val="center"/>
          </w:tcPr>
          <w:p w14:paraId="66EBD29D">
            <w:pPr>
              <w:spacing w:line="36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电磁流量计（液体）   DN</w:t>
            </w:r>
            <w:r>
              <w:rPr>
                <w:rFonts w:ascii="方正仿宋简体" w:hAnsi="仿宋_GB2312" w:eastAsia="方正仿宋简体" w:cs="仿宋_GB2312"/>
                <w:sz w:val="24"/>
                <w:szCs w:val="24"/>
              </w:rPr>
              <w:t>80</w:t>
            </w:r>
            <w:r>
              <w:rPr>
                <w:rFonts w:hint="eastAsia" w:ascii="方正仿宋简体" w:hAnsi="仿宋_GB2312" w:eastAsia="方正仿宋简体" w:cs="仿宋_GB2312"/>
                <w:sz w:val="24"/>
                <w:szCs w:val="24"/>
              </w:rPr>
              <w:t>～100mm</w:t>
            </w:r>
          </w:p>
        </w:tc>
        <w:tc>
          <w:tcPr>
            <w:tcW w:w="992" w:type="dxa"/>
            <w:tcBorders>
              <w:top w:val="nil"/>
              <w:left w:val="nil"/>
              <w:bottom w:val="single" w:color="000000" w:sz="4" w:space="0"/>
              <w:right w:val="single" w:color="000000" w:sz="4" w:space="0"/>
            </w:tcBorders>
          </w:tcPr>
          <w:p w14:paraId="1CBA17F2">
            <w:pPr>
              <w:widowControl/>
              <w:jc w:val="left"/>
              <w:rPr>
                <w:rFonts w:ascii="方正仿宋简体" w:hAnsi="仿宋_GB2312" w:eastAsia="方正仿宋简体" w:cs="仿宋_GB2312"/>
                <w:sz w:val="24"/>
                <w:szCs w:val="24"/>
              </w:rPr>
            </w:pPr>
            <w:r>
              <w:rPr>
                <w:rFonts w:ascii="方正仿宋简体" w:hAnsi="仿宋_GB2312" w:eastAsia="方正仿宋简体" w:cs="仿宋_GB2312"/>
                <w:sz w:val="24"/>
                <w:szCs w:val="24"/>
              </w:rPr>
              <w:t>2</w:t>
            </w:r>
            <w:r>
              <w:rPr>
                <w:rFonts w:hint="eastAsia" w:ascii="方正仿宋简体" w:hAnsi="仿宋_GB2312" w:eastAsia="方正仿宋简体" w:cs="仿宋_GB2312"/>
                <w:sz w:val="24"/>
                <w:szCs w:val="24"/>
              </w:rPr>
              <w:t>台</w:t>
            </w:r>
          </w:p>
        </w:tc>
        <w:tc>
          <w:tcPr>
            <w:tcW w:w="1713" w:type="dxa"/>
            <w:tcBorders>
              <w:top w:val="single" w:color="000000" w:sz="4" w:space="0"/>
              <w:left w:val="single" w:color="000000" w:sz="4" w:space="0"/>
              <w:right w:val="single" w:color="000000" w:sz="4" w:space="0"/>
            </w:tcBorders>
            <w:vAlign w:val="center"/>
          </w:tcPr>
          <w:p w14:paraId="1FAB6AA3">
            <w:pPr>
              <w:spacing w:line="360" w:lineRule="exact"/>
              <w:jc w:val="center"/>
              <w:rPr>
                <w:rFonts w:ascii="方正仿宋简体" w:hAnsi="仿宋_GB2312" w:eastAsia="方正仿宋简体" w:cs="仿宋_GB2312"/>
                <w:sz w:val="24"/>
                <w:szCs w:val="24"/>
              </w:rPr>
            </w:pPr>
          </w:p>
        </w:tc>
        <w:tc>
          <w:tcPr>
            <w:tcW w:w="1701" w:type="dxa"/>
            <w:tcBorders>
              <w:top w:val="single" w:color="000000" w:sz="4" w:space="0"/>
              <w:left w:val="single" w:color="000000" w:sz="4" w:space="0"/>
              <w:right w:val="single" w:color="000000" w:sz="4" w:space="0"/>
            </w:tcBorders>
            <w:vAlign w:val="center"/>
          </w:tcPr>
          <w:p w14:paraId="7B1990E0">
            <w:pPr>
              <w:spacing w:line="360" w:lineRule="exact"/>
              <w:jc w:val="center"/>
              <w:rPr>
                <w:rFonts w:ascii="方正仿宋简体" w:hAnsi="仿宋_GB2312" w:eastAsia="方正仿宋简体" w:cs="仿宋_GB2312"/>
                <w:sz w:val="24"/>
                <w:szCs w:val="24"/>
              </w:rPr>
            </w:pPr>
          </w:p>
        </w:tc>
        <w:tc>
          <w:tcPr>
            <w:tcW w:w="1508" w:type="dxa"/>
            <w:vMerge w:val="continue"/>
            <w:tcBorders>
              <w:left w:val="single" w:color="000000" w:sz="4" w:space="0"/>
              <w:right w:val="single" w:color="000000" w:sz="4" w:space="0"/>
            </w:tcBorders>
            <w:vAlign w:val="center"/>
          </w:tcPr>
          <w:p w14:paraId="3188F335">
            <w:pPr>
              <w:spacing w:line="360" w:lineRule="auto"/>
              <w:ind w:firstLine="480" w:firstLineChars="200"/>
              <w:jc w:val="center"/>
              <w:rPr>
                <w:rFonts w:ascii="方正仿宋简体" w:hAnsi="仿宋_GB2312" w:eastAsia="方正仿宋简体" w:cs="仿宋_GB2312"/>
                <w:sz w:val="24"/>
                <w:szCs w:val="24"/>
              </w:rPr>
            </w:pPr>
          </w:p>
        </w:tc>
      </w:tr>
      <w:tr w14:paraId="7A20006C">
        <w:tblPrEx>
          <w:tblCellMar>
            <w:top w:w="0" w:type="dxa"/>
            <w:left w:w="108" w:type="dxa"/>
            <w:bottom w:w="0" w:type="dxa"/>
            <w:right w:w="108" w:type="dxa"/>
          </w:tblCellMar>
        </w:tblPrEx>
        <w:trPr>
          <w:trHeight w:val="567" w:hRule="atLeast"/>
          <w:jc w:val="center"/>
        </w:trPr>
        <w:tc>
          <w:tcPr>
            <w:tcW w:w="2972" w:type="dxa"/>
            <w:tcBorders>
              <w:top w:val="single" w:color="000000" w:sz="4" w:space="0"/>
              <w:left w:val="single" w:color="000000" w:sz="4" w:space="0"/>
              <w:right w:val="single" w:color="000000" w:sz="4" w:space="0"/>
            </w:tcBorders>
            <w:vAlign w:val="center"/>
          </w:tcPr>
          <w:p w14:paraId="2C8A9D9D">
            <w:pPr>
              <w:spacing w:line="36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涡街流量计（液体）    DN50mm</w:t>
            </w:r>
          </w:p>
        </w:tc>
        <w:tc>
          <w:tcPr>
            <w:tcW w:w="992" w:type="dxa"/>
            <w:tcBorders>
              <w:top w:val="nil"/>
              <w:left w:val="nil"/>
              <w:bottom w:val="single" w:color="000000" w:sz="4" w:space="0"/>
              <w:right w:val="single" w:color="000000" w:sz="4" w:space="0"/>
            </w:tcBorders>
          </w:tcPr>
          <w:p w14:paraId="11E748A3">
            <w:pPr>
              <w:widowControl/>
              <w:jc w:val="left"/>
              <w:rPr>
                <w:rFonts w:ascii="方正仿宋简体" w:hAnsi="仿宋_GB2312" w:eastAsia="方正仿宋简体" w:cs="仿宋_GB2312"/>
                <w:sz w:val="24"/>
                <w:szCs w:val="24"/>
              </w:rPr>
            </w:pPr>
            <w:r>
              <w:rPr>
                <w:rFonts w:ascii="方正仿宋简体" w:hAnsi="仿宋_GB2312" w:eastAsia="方正仿宋简体" w:cs="仿宋_GB2312"/>
                <w:sz w:val="24"/>
                <w:szCs w:val="24"/>
              </w:rPr>
              <w:t>5</w:t>
            </w:r>
            <w:r>
              <w:rPr>
                <w:rFonts w:hint="eastAsia" w:ascii="方正仿宋简体" w:hAnsi="仿宋_GB2312" w:eastAsia="方正仿宋简体" w:cs="仿宋_GB2312"/>
                <w:sz w:val="24"/>
                <w:szCs w:val="24"/>
              </w:rPr>
              <w:t>台</w:t>
            </w:r>
          </w:p>
        </w:tc>
        <w:tc>
          <w:tcPr>
            <w:tcW w:w="1713" w:type="dxa"/>
            <w:tcBorders>
              <w:top w:val="single" w:color="000000" w:sz="4" w:space="0"/>
              <w:left w:val="single" w:color="000000" w:sz="4" w:space="0"/>
              <w:right w:val="single" w:color="000000" w:sz="4" w:space="0"/>
            </w:tcBorders>
            <w:vAlign w:val="center"/>
          </w:tcPr>
          <w:p w14:paraId="63E25CBF">
            <w:pPr>
              <w:spacing w:line="360" w:lineRule="exact"/>
              <w:jc w:val="center"/>
              <w:rPr>
                <w:rFonts w:ascii="方正仿宋简体" w:hAnsi="仿宋_GB2312" w:eastAsia="方正仿宋简体" w:cs="仿宋_GB2312"/>
                <w:sz w:val="24"/>
                <w:szCs w:val="24"/>
              </w:rPr>
            </w:pPr>
          </w:p>
        </w:tc>
        <w:tc>
          <w:tcPr>
            <w:tcW w:w="1701" w:type="dxa"/>
            <w:tcBorders>
              <w:top w:val="single" w:color="000000" w:sz="4" w:space="0"/>
              <w:left w:val="single" w:color="000000" w:sz="4" w:space="0"/>
              <w:right w:val="single" w:color="000000" w:sz="4" w:space="0"/>
            </w:tcBorders>
            <w:vAlign w:val="center"/>
          </w:tcPr>
          <w:p w14:paraId="784ADAFE">
            <w:pPr>
              <w:spacing w:line="360" w:lineRule="exact"/>
              <w:jc w:val="center"/>
              <w:rPr>
                <w:rFonts w:ascii="方正仿宋简体" w:hAnsi="仿宋_GB2312" w:eastAsia="方正仿宋简体" w:cs="仿宋_GB2312"/>
                <w:sz w:val="24"/>
                <w:szCs w:val="24"/>
              </w:rPr>
            </w:pPr>
          </w:p>
        </w:tc>
        <w:tc>
          <w:tcPr>
            <w:tcW w:w="1508" w:type="dxa"/>
            <w:vMerge w:val="continue"/>
            <w:tcBorders>
              <w:left w:val="single" w:color="000000" w:sz="4" w:space="0"/>
              <w:right w:val="single" w:color="000000" w:sz="4" w:space="0"/>
            </w:tcBorders>
            <w:vAlign w:val="center"/>
          </w:tcPr>
          <w:p w14:paraId="780A5A0B">
            <w:pPr>
              <w:spacing w:line="360" w:lineRule="auto"/>
              <w:ind w:firstLine="480" w:firstLineChars="200"/>
              <w:jc w:val="center"/>
              <w:rPr>
                <w:rFonts w:ascii="方正仿宋简体" w:hAnsi="仿宋_GB2312" w:eastAsia="方正仿宋简体" w:cs="仿宋_GB2312"/>
                <w:sz w:val="24"/>
                <w:szCs w:val="24"/>
              </w:rPr>
            </w:pPr>
          </w:p>
        </w:tc>
      </w:tr>
      <w:tr w14:paraId="5A6B5719">
        <w:tblPrEx>
          <w:tblCellMar>
            <w:top w:w="0" w:type="dxa"/>
            <w:left w:w="108" w:type="dxa"/>
            <w:bottom w:w="0" w:type="dxa"/>
            <w:right w:w="108" w:type="dxa"/>
          </w:tblCellMar>
        </w:tblPrEx>
        <w:trPr>
          <w:trHeight w:val="567" w:hRule="atLeas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483CFA81">
            <w:pPr>
              <w:spacing w:line="360" w:lineRule="exact"/>
              <w:jc w:val="center"/>
              <w:rPr>
                <w:rFonts w:ascii="方正仿宋简体" w:hAnsi="仿宋_GB2312" w:eastAsia="方正仿宋简体" w:cs="仿宋_GB2312"/>
                <w:sz w:val="24"/>
                <w:szCs w:val="24"/>
              </w:rPr>
            </w:pPr>
            <w:r>
              <w:rPr>
                <w:rFonts w:hint="eastAsia" w:ascii="方正仿宋简体" w:hAnsi="仿宋_GB2312" w:eastAsia="方正仿宋简体" w:cs="仿宋_GB2312"/>
                <w:sz w:val="24"/>
                <w:szCs w:val="24"/>
              </w:rPr>
              <w:t>涡街流量计（液体）   DN80～100mm</w:t>
            </w:r>
          </w:p>
        </w:tc>
        <w:tc>
          <w:tcPr>
            <w:tcW w:w="992" w:type="dxa"/>
            <w:tcBorders>
              <w:top w:val="nil"/>
              <w:left w:val="nil"/>
              <w:bottom w:val="single" w:color="000000" w:sz="4" w:space="0"/>
              <w:right w:val="single" w:color="000000" w:sz="4" w:space="0"/>
            </w:tcBorders>
          </w:tcPr>
          <w:p w14:paraId="2C888DDC">
            <w:pPr>
              <w:widowControl/>
              <w:jc w:val="left"/>
              <w:rPr>
                <w:rFonts w:ascii="方正仿宋简体" w:hAnsi="仿宋_GB2312" w:eastAsia="方正仿宋简体" w:cs="仿宋_GB2312"/>
                <w:sz w:val="24"/>
                <w:szCs w:val="24"/>
              </w:rPr>
            </w:pPr>
            <w:r>
              <w:rPr>
                <w:rFonts w:ascii="方正仿宋简体" w:hAnsi="仿宋_GB2312" w:eastAsia="方正仿宋简体" w:cs="仿宋_GB2312"/>
                <w:sz w:val="24"/>
                <w:szCs w:val="24"/>
              </w:rPr>
              <w:t>7</w:t>
            </w:r>
            <w:r>
              <w:rPr>
                <w:rFonts w:hint="eastAsia" w:ascii="方正仿宋简体" w:hAnsi="仿宋_GB2312" w:eastAsia="方正仿宋简体" w:cs="仿宋_GB2312"/>
                <w:sz w:val="24"/>
                <w:szCs w:val="24"/>
              </w:rPr>
              <w:t>台</w:t>
            </w:r>
          </w:p>
        </w:tc>
        <w:tc>
          <w:tcPr>
            <w:tcW w:w="1713" w:type="dxa"/>
            <w:tcBorders>
              <w:top w:val="single" w:color="000000" w:sz="4" w:space="0"/>
              <w:left w:val="single" w:color="000000" w:sz="4" w:space="0"/>
              <w:right w:val="single" w:color="000000" w:sz="4" w:space="0"/>
            </w:tcBorders>
            <w:vAlign w:val="center"/>
          </w:tcPr>
          <w:p w14:paraId="4A14D29F">
            <w:pPr>
              <w:spacing w:line="360" w:lineRule="exact"/>
              <w:jc w:val="center"/>
              <w:rPr>
                <w:rFonts w:ascii="方正仿宋简体" w:hAnsi="仿宋_GB2312" w:eastAsia="方正仿宋简体" w:cs="仿宋_GB2312"/>
                <w:sz w:val="24"/>
                <w:szCs w:val="24"/>
              </w:rPr>
            </w:pPr>
          </w:p>
        </w:tc>
        <w:tc>
          <w:tcPr>
            <w:tcW w:w="1701" w:type="dxa"/>
            <w:tcBorders>
              <w:top w:val="single" w:color="000000" w:sz="4" w:space="0"/>
              <w:left w:val="single" w:color="000000" w:sz="4" w:space="0"/>
              <w:right w:val="single" w:color="000000" w:sz="4" w:space="0"/>
            </w:tcBorders>
            <w:vAlign w:val="center"/>
          </w:tcPr>
          <w:p w14:paraId="44BB75FE">
            <w:pPr>
              <w:spacing w:line="360" w:lineRule="exact"/>
              <w:jc w:val="center"/>
              <w:rPr>
                <w:rFonts w:ascii="方正仿宋简体" w:hAnsi="仿宋_GB2312" w:eastAsia="方正仿宋简体" w:cs="仿宋_GB2312"/>
                <w:sz w:val="24"/>
                <w:szCs w:val="24"/>
              </w:rPr>
            </w:pPr>
          </w:p>
        </w:tc>
        <w:tc>
          <w:tcPr>
            <w:tcW w:w="1508" w:type="dxa"/>
            <w:vMerge w:val="continue"/>
            <w:tcBorders>
              <w:left w:val="single" w:color="000000" w:sz="4" w:space="0"/>
              <w:right w:val="single" w:color="000000" w:sz="4" w:space="0"/>
            </w:tcBorders>
            <w:vAlign w:val="center"/>
          </w:tcPr>
          <w:p w14:paraId="0DA6C0E0">
            <w:pPr>
              <w:spacing w:line="360" w:lineRule="auto"/>
              <w:ind w:firstLine="480" w:firstLineChars="200"/>
              <w:jc w:val="center"/>
              <w:rPr>
                <w:rFonts w:ascii="方正仿宋简体" w:hAnsi="仿宋_GB2312" w:eastAsia="方正仿宋简体" w:cs="仿宋_GB2312"/>
                <w:sz w:val="24"/>
                <w:szCs w:val="24"/>
              </w:rPr>
            </w:pPr>
          </w:p>
        </w:tc>
      </w:tr>
      <w:tr w14:paraId="0E05426D">
        <w:tblPrEx>
          <w:tblCellMar>
            <w:top w:w="0" w:type="dxa"/>
            <w:left w:w="108" w:type="dxa"/>
            <w:bottom w:w="0" w:type="dxa"/>
            <w:right w:w="108" w:type="dxa"/>
          </w:tblCellMar>
        </w:tblPrEx>
        <w:trPr>
          <w:trHeight w:val="584" w:hRule="exact"/>
          <w:jc w:val="center"/>
        </w:trPr>
        <w:tc>
          <w:tcPr>
            <w:tcW w:w="8886" w:type="dxa"/>
            <w:gridSpan w:val="5"/>
            <w:tcBorders>
              <w:top w:val="single" w:color="000000" w:sz="4" w:space="0"/>
              <w:left w:val="single" w:color="000000" w:sz="4" w:space="0"/>
              <w:bottom w:val="single" w:color="000000" w:sz="4" w:space="0"/>
              <w:right w:val="single" w:color="000000" w:sz="4" w:space="0"/>
            </w:tcBorders>
            <w:vAlign w:val="center"/>
          </w:tcPr>
          <w:p w14:paraId="3C05956D">
            <w:pPr>
              <w:widowControl/>
              <w:jc w:val="left"/>
              <w:rPr>
                <w:rFonts w:ascii="方正仿宋简体" w:eastAsia="方正仿宋简体"/>
                <w:sz w:val="32"/>
                <w:szCs w:val="32"/>
              </w:rPr>
            </w:pPr>
            <w:r>
              <w:rPr>
                <w:rFonts w:hint="eastAsia" w:ascii="方正仿宋简体" w:hAnsi="仿宋_GB2312" w:eastAsia="方正仿宋简体" w:cs="仿宋_GB2312"/>
                <w:sz w:val="24"/>
                <w:szCs w:val="24"/>
              </w:rPr>
              <w:t>以上合计总价（小写）：</w:t>
            </w:r>
          </w:p>
        </w:tc>
      </w:tr>
      <w:tr w14:paraId="214C52BB">
        <w:tblPrEx>
          <w:tblCellMar>
            <w:top w:w="0" w:type="dxa"/>
            <w:left w:w="108" w:type="dxa"/>
            <w:bottom w:w="0" w:type="dxa"/>
            <w:right w:w="108" w:type="dxa"/>
          </w:tblCellMar>
        </w:tblPrEx>
        <w:trPr>
          <w:trHeight w:val="584" w:hRule="exact"/>
          <w:jc w:val="center"/>
        </w:trPr>
        <w:tc>
          <w:tcPr>
            <w:tcW w:w="8886" w:type="dxa"/>
            <w:gridSpan w:val="5"/>
            <w:tcBorders>
              <w:top w:val="single" w:color="000000" w:sz="4" w:space="0"/>
              <w:left w:val="single" w:color="000000" w:sz="4" w:space="0"/>
              <w:bottom w:val="single" w:color="000000" w:sz="4" w:space="0"/>
              <w:right w:val="single" w:color="000000" w:sz="4" w:space="0"/>
            </w:tcBorders>
            <w:vAlign w:val="center"/>
          </w:tcPr>
          <w:p w14:paraId="677A662E">
            <w:pPr>
              <w:widowControl/>
              <w:jc w:val="left"/>
              <w:rPr>
                <w:rFonts w:ascii="方正仿宋简体" w:hAnsi="仿宋_GB2312" w:eastAsia="方正仿宋简体" w:cs="仿宋_GB2312"/>
                <w:sz w:val="24"/>
                <w:szCs w:val="24"/>
              </w:rPr>
            </w:pPr>
            <w:r>
              <w:rPr>
                <w:rFonts w:hint="eastAsia" w:ascii="方正仿宋简体" w:hAnsi="仿宋_GB2312" w:eastAsia="方正仿宋简体" w:cs="仿宋_GB2312"/>
                <w:b/>
                <w:bCs/>
                <w:kern w:val="1"/>
                <w:sz w:val="24"/>
                <w:szCs w:val="24"/>
              </w:rPr>
              <w:t>注</w:t>
            </w:r>
            <w:r>
              <w:rPr>
                <w:rFonts w:ascii="方正仿宋简体" w:hAnsi="仿宋_GB2312" w:eastAsia="方正仿宋简体" w:cs="仿宋_GB2312"/>
                <w:b/>
                <w:bCs/>
                <w:kern w:val="1"/>
                <w:sz w:val="24"/>
                <w:szCs w:val="24"/>
              </w:rPr>
              <w:t>：</w:t>
            </w:r>
            <w:r>
              <w:rPr>
                <w:rFonts w:hint="eastAsia" w:ascii="方正仿宋简体" w:hAnsi="仿宋_GB2312" w:eastAsia="方正仿宋简体" w:cs="仿宋_GB2312"/>
                <w:b/>
                <w:bCs/>
                <w:kern w:val="1"/>
                <w:sz w:val="24"/>
                <w:szCs w:val="24"/>
              </w:rPr>
              <w:t>由于年度检定的流量计数量会有所增减，以实际检定</w:t>
            </w:r>
            <w:r>
              <w:rPr>
                <w:rFonts w:ascii="方正仿宋简体" w:hAnsi="仿宋_GB2312" w:eastAsia="方正仿宋简体" w:cs="仿宋_GB2312"/>
                <w:b/>
                <w:bCs/>
                <w:kern w:val="1"/>
                <w:sz w:val="24"/>
                <w:szCs w:val="24"/>
              </w:rPr>
              <w:t>数量结算。</w:t>
            </w:r>
          </w:p>
        </w:tc>
      </w:tr>
    </w:tbl>
    <w:p w14:paraId="7161A0C7">
      <w:pPr>
        <w:spacing w:line="60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注：按报价格式进行填报，每格均需填报。</w:t>
      </w:r>
    </w:p>
    <w:p w14:paraId="0C175F72">
      <w:pPr>
        <w:spacing w:line="360" w:lineRule="auto"/>
        <w:ind w:firstLine="640" w:firstLineChars="200"/>
        <w:jc w:val="left"/>
        <w:rPr>
          <w:rFonts w:ascii="方正仿宋简体" w:hAnsi="仿宋_GB2312" w:eastAsia="方正仿宋简体" w:cs="仿宋_GB2312"/>
          <w:sz w:val="32"/>
          <w:szCs w:val="32"/>
        </w:rPr>
      </w:pPr>
      <w:r>
        <w:rPr>
          <w:rFonts w:hint="eastAsia" w:ascii="方正仿宋简体" w:hAnsi="方正仿宋简体" w:eastAsia="方正仿宋简体" w:cs="方正仿宋简体"/>
          <w:kern w:val="1"/>
          <w:sz w:val="32"/>
          <w:szCs w:val="32"/>
        </w:rPr>
        <w:t>三、检定时间：</w:t>
      </w:r>
      <w:r>
        <w:rPr>
          <w:rFonts w:hint="eastAsia" w:ascii="方正仿宋简体" w:hAnsi="仿宋_GB2312" w:eastAsia="方正仿宋简体" w:cs="仿宋_GB2312"/>
          <w:sz w:val="32"/>
          <w:szCs w:val="32"/>
        </w:rPr>
        <w:t>中标方上午</w:t>
      </w:r>
      <w:r>
        <w:rPr>
          <w:rFonts w:ascii="方正仿宋简体" w:hAnsi="仿宋_GB2312" w:eastAsia="方正仿宋简体" w:cs="仿宋_GB2312"/>
          <w:sz w:val="32"/>
          <w:szCs w:val="32"/>
        </w:rPr>
        <w:t>8</w:t>
      </w:r>
      <w:r>
        <w:rPr>
          <w:rFonts w:hint="eastAsia" w:ascii="方正仿宋简体" w:hAnsi="仿宋_GB2312" w:eastAsia="方正仿宋简体" w:cs="仿宋_GB2312"/>
          <w:sz w:val="32"/>
          <w:szCs w:val="32"/>
        </w:rPr>
        <w:t>点前到招标方</w:t>
      </w:r>
      <w:r>
        <w:rPr>
          <w:rFonts w:ascii="方正仿宋简体" w:hAnsi="仿宋_GB2312" w:eastAsia="方正仿宋简体" w:cs="仿宋_GB2312"/>
          <w:sz w:val="32"/>
          <w:szCs w:val="32"/>
        </w:rPr>
        <w:t>现场</w:t>
      </w:r>
      <w:r>
        <w:rPr>
          <w:rFonts w:hint="eastAsia" w:ascii="方正仿宋简体" w:hAnsi="仿宋_GB2312" w:eastAsia="方正仿宋简体" w:cs="仿宋_GB2312"/>
          <w:sz w:val="32"/>
          <w:szCs w:val="32"/>
        </w:rPr>
        <w:t>提取质量流量计送检，检定结束后于当天下午15点前返还招标方</w:t>
      </w:r>
      <w:r>
        <w:rPr>
          <w:rFonts w:hint="eastAsia" w:ascii="方正仿宋简体" w:hAnsi="仿宋_GB2312" w:eastAsia="方正仿宋简体" w:cs="仿宋_GB2312"/>
          <w:color w:val="FF0000"/>
          <w:sz w:val="32"/>
          <w:szCs w:val="32"/>
        </w:rPr>
        <w:t>（如有2次延迟返还的情况发生，招标方将取消合同，并将投标方列入海纳川供应商负面清单）</w:t>
      </w:r>
      <w:r>
        <w:rPr>
          <w:rFonts w:hint="eastAsia" w:ascii="方正仿宋简体" w:hAnsi="仿宋_GB2312" w:eastAsia="方正仿宋简体" w:cs="仿宋_GB2312"/>
          <w:sz w:val="32"/>
          <w:szCs w:val="32"/>
        </w:rPr>
        <w:t>。</w:t>
      </w:r>
      <w:r>
        <w:rPr>
          <w:rFonts w:hint="eastAsia" w:ascii="方正仿宋简体" w:hAnsi="仿宋_GB2312" w:eastAsia="方正仿宋简体" w:cs="仿宋_GB2312"/>
          <w:kern w:val="1"/>
          <w:sz w:val="32"/>
          <w:szCs w:val="32"/>
        </w:rPr>
        <w:t>流量计检定后，</w:t>
      </w:r>
      <w:r>
        <w:rPr>
          <w:rFonts w:hint="eastAsia" w:ascii="方正仿宋简体" w:hAnsi="仿宋_GB2312" w:eastAsia="方正仿宋简体" w:cs="仿宋_GB2312"/>
          <w:sz w:val="32"/>
          <w:szCs w:val="32"/>
        </w:rPr>
        <w:t>中标方在10个工作日内向招标方提供</w:t>
      </w:r>
      <w:r>
        <w:rPr>
          <w:rFonts w:hint="eastAsia" w:ascii="方正仿宋简体" w:hAnsi="仿宋_GB2312" w:eastAsia="方正仿宋简体" w:cs="仿宋_GB2312"/>
          <w:color w:val="FF0000"/>
          <w:sz w:val="32"/>
          <w:szCs w:val="32"/>
        </w:rPr>
        <w:t>省或市计量院</w:t>
      </w:r>
      <w:r>
        <w:rPr>
          <w:rFonts w:hint="eastAsia" w:ascii="方正仿宋简体" w:hAnsi="仿宋_GB2312" w:eastAsia="方正仿宋简体" w:cs="仿宋_GB2312"/>
          <w:sz w:val="32"/>
          <w:szCs w:val="32"/>
        </w:rPr>
        <w:t>合法、有效的检定证书。</w:t>
      </w:r>
    </w:p>
    <w:p w14:paraId="4DCB1A48">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四、我方承诺遵守招标文件中的全部规定。</w:t>
      </w:r>
    </w:p>
    <w:p w14:paraId="3DD1DA6F">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五、我方承诺中标后双方签订合同,并承担合同规定的责任义务。</w:t>
      </w:r>
    </w:p>
    <w:p w14:paraId="1672F813">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sz w:val="32"/>
          <w:szCs w:val="32"/>
          <w:shd w:val="clear" w:color="auto" w:fill="FFFFFF"/>
        </w:rPr>
        <w:t>六、我方已详细审查全部招标文件，包括招标文件的补充文件（如有）。我方完全理解并同意放弃对这方面有不明及误解的权力，同时完全接受招标文件所有条款。如果招标文件有相互矛盾之处，我方同意按招标方的解释处理。</w:t>
      </w:r>
    </w:p>
    <w:p w14:paraId="7FFDA09F">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七、愿意向贵方提供任何与该项投标有关的数据、情况和技术资料，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5552C25E">
      <w:pPr>
        <w:pStyle w:val="5"/>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八、投标单位其他说明情况：</w:t>
      </w:r>
      <w:r>
        <w:rPr>
          <w:rFonts w:hint="eastAsia" w:ascii="方正仿宋简体" w:hAnsi="方正仿宋简体" w:eastAsia="方正仿宋简体" w:cs="方正仿宋简体"/>
          <w:color w:val="000000"/>
          <w:kern w:val="1"/>
          <w:sz w:val="32"/>
          <w:szCs w:val="32"/>
          <w:u w:val="single"/>
        </w:rPr>
        <w:t xml:space="preserve">               </w:t>
      </w:r>
    </w:p>
    <w:p w14:paraId="31643275">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w:t>
      </w:r>
    </w:p>
    <w:p w14:paraId="08F0B9C9">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4F96AC6A">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投标单位（盖章）：</w:t>
      </w:r>
    </w:p>
    <w:p w14:paraId="575D1FA4">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450C3A11">
      <w:pPr>
        <w:rPr>
          <w:rFonts w:ascii="方正小标宋简体" w:hAnsi="宋体" w:eastAsia="方正小标宋简体" w:cs="宋体"/>
          <w:b/>
          <w:bCs/>
          <w:sz w:val="32"/>
          <w:szCs w:val="32"/>
        </w:rPr>
      </w:pPr>
    </w:p>
    <w:p w14:paraId="5C1EE09C">
      <w:pPr>
        <w:rPr>
          <w:rFonts w:ascii="方正小标宋简体" w:hAnsi="宋体" w:eastAsia="方正小标宋简体" w:cs="宋体"/>
          <w:b/>
          <w:bCs/>
          <w:sz w:val="32"/>
          <w:szCs w:val="32"/>
        </w:rPr>
      </w:pPr>
    </w:p>
    <w:p w14:paraId="6F5B8CEA">
      <w:pPr>
        <w:rPr>
          <w:rFonts w:ascii="方正小标宋简体" w:hAnsi="宋体" w:eastAsia="方正小标宋简体" w:cs="宋体"/>
          <w:b/>
          <w:bCs/>
          <w:sz w:val="32"/>
          <w:szCs w:val="32"/>
        </w:rPr>
      </w:pPr>
    </w:p>
    <w:p w14:paraId="4720B359">
      <w:pPr>
        <w:pStyle w:val="11"/>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2B2F189A">
      <w:pPr>
        <w:pStyle w:val="11"/>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0AB0A49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招标要求，均视为我司合格供应商，参与我司组织的招投标、比价采购等商务活动。</w:t>
      </w:r>
    </w:p>
    <w:p w14:paraId="43F0FBC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015A1D9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0ACB054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301297E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1312398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17CCBB9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审计风控部负责归口公司招投标负面清单，具体工作由海纳川各部室及直属单位共同承担。</w:t>
      </w:r>
    </w:p>
    <w:p w14:paraId="04F7F3E1">
      <w:pPr>
        <w:tabs>
          <w:tab w:val="left" w:pos="2565"/>
        </w:tabs>
        <w:spacing w:line="600" w:lineRule="exact"/>
        <w:rPr>
          <w:rFonts w:ascii="方正仿宋简体" w:hAnsi="方正仿宋简体" w:eastAsia="方正仿宋简体" w:cs="方正仿宋简体"/>
          <w:sz w:val="32"/>
          <w:szCs w:val="32"/>
        </w:rPr>
      </w:pPr>
    </w:p>
    <w:p w14:paraId="39A1F8AB">
      <w:pPr>
        <w:tabs>
          <w:tab w:val="left" w:pos="2565"/>
        </w:tabs>
        <w:spacing w:line="600" w:lineRule="exact"/>
        <w:rPr>
          <w:rFonts w:ascii="方正仿宋简体" w:hAnsi="方正仿宋简体" w:eastAsia="方正仿宋简体" w:cs="方正仿宋简体"/>
          <w:sz w:val="32"/>
          <w:szCs w:val="32"/>
        </w:rPr>
      </w:pPr>
    </w:p>
    <w:p w14:paraId="2DB88342">
      <w:pPr>
        <w:tabs>
          <w:tab w:val="left" w:pos="2565"/>
        </w:tabs>
        <w:spacing w:line="600" w:lineRule="exact"/>
        <w:rPr>
          <w:rFonts w:ascii="方正仿宋简体" w:hAnsi="方正仿宋简体" w:eastAsia="方正仿宋简体" w:cs="方正仿宋简体"/>
          <w:sz w:val="32"/>
          <w:szCs w:val="32"/>
        </w:rPr>
      </w:pPr>
    </w:p>
    <w:p w14:paraId="58B44C16">
      <w:pPr>
        <w:pStyle w:val="5"/>
      </w:pPr>
    </w:p>
    <w:p w14:paraId="29229B7D">
      <w:pPr>
        <w:tabs>
          <w:tab w:val="left" w:pos="2565"/>
        </w:tabs>
        <w:spacing w:line="600" w:lineRule="exact"/>
        <w:rPr>
          <w:rFonts w:ascii="方正仿宋简体" w:hAnsi="方正仿宋简体" w:eastAsia="方正仿宋简体" w:cs="方正仿宋简体"/>
          <w:sz w:val="32"/>
          <w:szCs w:val="32"/>
        </w:rPr>
      </w:pPr>
    </w:p>
    <w:p w14:paraId="5B5D06A7">
      <w:pPr>
        <w:tabs>
          <w:tab w:val="left" w:pos="2565"/>
        </w:tabs>
        <w:spacing w:line="600" w:lineRule="exact"/>
        <w:rPr>
          <w:rFonts w:ascii="方正仿宋简体" w:hAnsi="方正仿宋简体" w:eastAsia="方正仿宋简体" w:cs="方正仿宋简体"/>
          <w:sz w:val="32"/>
          <w:szCs w:val="32"/>
        </w:rPr>
      </w:pPr>
    </w:p>
    <w:p w14:paraId="2BE49941">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1332230</wp:posOffset>
            </wp:positionV>
            <wp:extent cx="6446520" cy="8431530"/>
            <wp:effectExtent l="0" t="0" r="1143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446520" cy="843153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5BCF7A4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585C0019">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1C214DE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审计风控部组织相关参与评标部门根据本规定对供应商进行考核并建立供应商考核情况登记表（见附件3），根据扣分情况分为继续合作、限制合作及列入负面清单三种情形。考核记分周期为1年，自被考核当日起计满1年后，考核分自动清零。</w:t>
      </w:r>
    </w:p>
    <w:p w14:paraId="4587148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68BEAB0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2.限制合作供应商：考核扣分介于8～16分之间，为限制合作供应商。原辅材料采购3个月内、备品备件采购6个月内不接受该供应商投标或报价。 </w:t>
      </w:r>
    </w:p>
    <w:p w14:paraId="4693212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3.列入负面清单供应商：考核扣分高于16分或单项扣10分，列入负面清单供应商，1年内不接受该供应商投标或报价。</w:t>
      </w:r>
    </w:p>
    <w:p w14:paraId="33C56F65">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6478198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6090EFC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35C1281D">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FE2208F">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2F72D98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5823A6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1CC50ED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2770EC0C">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25349A0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现场施工人员不服从招标方安全管理的，考核5-10分。</w:t>
      </w:r>
    </w:p>
    <w:p w14:paraId="308009C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0BC9AE6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9942A4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6B5AF43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20514AB6">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3A23F21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C526B8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4718BAC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DB1759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133CCF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00BEFD3">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63D87AA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7FAC753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CB63E2">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30BB7F66">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837FFA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54B4B41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53FD62A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6342B32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AEE548">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E289E2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22A07A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6C8565A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764A95B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0EF1D26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3FACC3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4EC0EA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24A4A8D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2145A5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CE0E22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8D5B8A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CD36CA6">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77D1C7E">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2CCDCDBF">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4948FBD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1612AC8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6E0BDB54">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06DF974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4828F93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A68CFD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069FFB9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883E21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E2DD15F">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329D10C">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62DF7A3">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7EDCEAF6">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39C64A72">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73DE4C27">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7C234679">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4C2D62F0">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3C630BC6">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39F99E99">
      <w:pPr>
        <w:spacing w:line="600" w:lineRule="exact"/>
        <w:ind w:firstLine="640" w:firstLineChars="200"/>
        <w:jc w:val="left"/>
        <w:rPr>
          <w:rFonts w:ascii="方正仿宋简体" w:hAnsi="方正仿宋简体" w:eastAsia="方正仿宋简体" w:cs="方正仿宋简体"/>
          <w:color w:val="00000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F9375">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3B794D6">
                          <w:pPr>
                            <w:pStyle w:val="8"/>
                            <w:jc w:val="center"/>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43B794D6">
                    <w:pPr>
                      <w:pStyle w:val="8"/>
                      <w:jc w:val="center"/>
                    </w:pPr>
                    <w:r>
                      <w:fldChar w:fldCharType="begin"/>
                    </w:r>
                    <w:r>
                      <w:instrText xml:space="preserve"> PAGE  \* MERGEFORMAT </w:instrText>
                    </w:r>
                    <w:r>
                      <w:fldChar w:fldCharType="separate"/>
                    </w:r>
                    <w:r>
                      <w:t>17</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D25CB"/>
    <w:multiLevelType w:val="singleLevel"/>
    <w:tmpl w:val="C43D25CB"/>
    <w:lvl w:ilvl="0" w:tentative="0">
      <w:start w:val="1"/>
      <w:numFmt w:val="chineseCounting"/>
      <w:lvlText w:val="%1."/>
      <w:lvlJc w:val="left"/>
      <w:pPr>
        <w:tabs>
          <w:tab w:val="left" w:pos="312"/>
        </w:tabs>
      </w:pPr>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hOThjNjg2YjgxMzJjYThhNDQ5ZTZmNGI1ZGM0ZDkifQ=="/>
  </w:docVars>
  <w:rsids>
    <w:rsidRoot w:val="359E47FF"/>
    <w:rsid w:val="0000095C"/>
    <w:rsid w:val="000116AC"/>
    <w:rsid w:val="000141C3"/>
    <w:rsid w:val="00026798"/>
    <w:rsid w:val="0003014A"/>
    <w:rsid w:val="00030F87"/>
    <w:rsid w:val="00057564"/>
    <w:rsid w:val="00063BE4"/>
    <w:rsid w:val="00070A9E"/>
    <w:rsid w:val="00072E29"/>
    <w:rsid w:val="000A22DB"/>
    <w:rsid w:val="000A4392"/>
    <w:rsid w:val="000B05C2"/>
    <w:rsid w:val="000B224F"/>
    <w:rsid w:val="000B240D"/>
    <w:rsid w:val="000C0FB0"/>
    <w:rsid w:val="000C1845"/>
    <w:rsid w:val="000D117B"/>
    <w:rsid w:val="000D6A23"/>
    <w:rsid w:val="000D7239"/>
    <w:rsid w:val="000E79C2"/>
    <w:rsid w:val="000F43B8"/>
    <w:rsid w:val="0010553B"/>
    <w:rsid w:val="00112DAE"/>
    <w:rsid w:val="00124336"/>
    <w:rsid w:val="00124702"/>
    <w:rsid w:val="001251C4"/>
    <w:rsid w:val="001260B7"/>
    <w:rsid w:val="00135692"/>
    <w:rsid w:val="00147EA3"/>
    <w:rsid w:val="00160290"/>
    <w:rsid w:val="00162DF0"/>
    <w:rsid w:val="00166793"/>
    <w:rsid w:val="00182662"/>
    <w:rsid w:val="00193418"/>
    <w:rsid w:val="001A7FE6"/>
    <w:rsid w:val="001C2ED9"/>
    <w:rsid w:val="001D1E3B"/>
    <w:rsid w:val="001D749A"/>
    <w:rsid w:val="001E269B"/>
    <w:rsid w:val="001E5294"/>
    <w:rsid w:val="001E73AA"/>
    <w:rsid w:val="001F0841"/>
    <w:rsid w:val="001F16BE"/>
    <w:rsid w:val="001F3EBF"/>
    <w:rsid w:val="00204BA6"/>
    <w:rsid w:val="002055DD"/>
    <w:rsid w:val="00210C67"/>
    <w:rsid w:val="002133E5"/>
    <w:rsid w:val="0024298F"/>
    <w:rsid w:val="0024403B"/>
    <w:rsid w:val="0025137B"/>
    <w:rsid w:val="00260A65"/>
    <w:rsid w:val="002628A1"/>
    <w:rsid w:val="002663C8"/>
    <w:rsid w:val="0027458E"/>
    <w:rsid w:val="002769BC"/>
    <w:rsid w:val="002A4FEF"/>
    <w:rsid w:val="002C7D82"/>
    <w:rsid w:val="002D08DB"/>
    <w:rsid w:val="002E6868"/>
    <w:rsid w:val="002F66BD"/>
    <w:rsid w:val="002F7B74"/>
    <w:rsid w:val="00300959"/>
    <w:rsid w:val="00304955"/>
    <w:rsid w:val="003130E5"/>
    <w:rsid w:val="003134B3"/>
    <w:rsid w:val="00317FD9"/>
    <w:rsid w:val="00323FEA"/>
    <w:rsid w:val="0032541E"/>
    <w:rsid w:val="00331F42"/>
    <w:rsid w:val="003369B2"/>
    <w:rsid w:val="00354DF6"/>
    <w:rsid w:val="00355E41"/>
    <w:rsid w:val="0035637E"/>
    <w:rsid w:val="00372C3A"/>
    <w:rsid w:val="003732C8"/>
    <w:rsid w:val="00383DDD"/>
    <w:rsid w:val="00387F35"/>
    <w:rsid w:val="003C384A"/>
    <w:rsid w:val="003C5E49"/>
    <w:rsid w:val="003C7784"/>
    <w:rsid w:val="003D3B18"/>
    <w:rsid w:val="003E6C64"/>
    <w:rsid w:val="004034BE"/>
    <w:rsid w:val="00404F98"/>
    <w:rsid w:val="00407A92"/>
    <w:rsid w:val="00407E4D"/>
    <w:rsid w:val="00407F8E"/>
    <w:rsid w:val="004131BD"/>
    <w:rsid w:val="00413897"/>
    <w:rsid w:val="004440FC"/>
    <w:rsid w:val="00455075"/>
    <w:rsid w:val="004553E5"/>
    <w:rsid w:val="00466243"/>
    <w:rsid w:val="004679B5"/>
    <w:rsid w:val="004715DF"/>
    <w:rsid w:val="00474461"/>
    <w:rsid w:val="004875EB"/>
    <w:rsid w:val="00490DDD"/>
    <w:rsid w:val="004975D5"/>
    <w:rsid w:val="004C1280"/>
    <w:rsid w:val="004C289D"/>
    <w:rsid w:val="004D4FFE"/>
    <w:rsid w:val="004F039F"/>
    <w:rsid w:val="004F1752"/>
    <w:rsid w:val="004F353E"/>
    <w:rsid w:val="004F4F62"/>
    <w:rsid w:val="004F5E27"/>
    <w:rsid w:val="00516733"/>
    <w:rsid w:val="00520D81"/>
    <w:rsid w:val="00541A3D"/>
    <w:rsid w:val="0054684F"/>
    <w:rsid w:val="00554526"/>
    <w:rsid w:val="005644E0"/>
    <w:rsid w:val="00571705"/>
    <w:rsid w:val="0058042A"/>
    <w:rsid w:val="00581D3E"/>
    <w:rsid w:val="00594F48"/>
    <w:rsid w:val="005C3E95"/>
    <w:rsid w:val="005C6D13"/>
    <w:rsid w:val="006161F5"/>
    <w:rsid w:val="006168FD"/>
    <w:rsid w:val="006218AD"/>
    <w:rsid w:val="00622A8D"/>
    <w:rsid w:val="006253B4"/>
    <w:rsid w:val="00650CA2"/>
    <w:rsid w:val="00652B4B"/>
    <w:rsid w:val="0067387A"/>
    <w:rsid w:val="00675CA6"/>
    <w:rsid w:val="006835A9"/>
    <w:rsid w:val="00687600"/>
    <w:rsid w:val="0069702F"/>
    <w:rsid w:val="006B2243"/>
    <w:rsid w:val="006D00BD"/>
    <w:rsid w:val="006D12A4"/>
    <w:rsid w:val="006D3CEC"/>
    <w:rsid w:val="006E07FF"/>
    <w:rsid w:val="006E0809"/>
    <w:rsid w:val="006F1C93"/>
    <w:rsid w:val="0072104A"/>
    <w:rsid w:val="00723F57"/>
    <w:rsid w:val="007254B5"/>
    <w:rsid w:val="00740615"/>
    <w:rsid w:val="00753CD1"/>
    <w:rsid w:val="00756CEF"/>
    <w:rsid w:val="007573D6"/>
    <w:rsid w:val="007820F5"/>
    <w:rsid w:val="0078321F"/>
    <w:rsid w:val="007856FB"/>
    <w:rsid w:val="007875CD"/>
    <w:rsid w:val="0079121E"/>
    <w:rsid w:val="00793220"/>
    <w:rsid w:val="007B14D2"/>
    <w:rsid w:val="007C7618"/>
    <w:rsid w:val="007C772C"/>
    <w:rsid w:val="007D630F"/>
    <w:rsid w:val="007E6E47"/>
    <w:rsid w:val="007F0E1D"/>
    <w:rsid w:val="007F4681"/>
    <w:rsid w:val="007F50F6"/>
    <w:rsid w:val="00813574"/>
    <w:rsid w:val="00814842"/>
    <w:rsid w:val="008249E2"/>
    <w:rsid w:val="008414F2"/>
    <w:rsid w:val="00842B41"/>
    <w:rsid w:val="00856599"/>
    <w:rsid w:val="00882A3F"/>
    <w:rsid w:val="00887DB8"/>
    <w:rsid w:val="00892E49"/>
    <w:rsid w:val="008B6E7D"/>
    <w:rsid w:val="008C15BB"/>
    <w:rsid w:val="008C785B"/>
    <w:rsid w:val="008D2F65"/>
    <w:rsid w:val="008D5377"/>
    <w:rsid w:val="008F7BB3"/>
    <w:rsid w:val="0091028A"/>
    <w:rsid w:val="0091114C"/>
    <w:rsid w:val="0091252B"/>
    <w:rsid w:val="009329B0"/>
    <w:rsid w:val="0093613E"/>
    <w:rsid w:val="00971BB0"/>
    <w:rsid w:val="00975ECA"/>
    <w:rsid w:val="0099001A"/>
    <w:rsid w:val="009A7843"/>
    <w:rsid w:val="009B5752"/>
    <w:rsid w:val="009C1B9D"/>
    <w:rsid w:val="009D135B"/>
    <w:rsid w:val="009D1883"/>
    <w:rsid w:val="009E2975"/>
    <w:rsid w:val="00A0085B"/>
    <w:rsid w:val="00A303BA"/>
    <w:rsid w:val="00A34408"/>
    <w:rsid w:val="00A54DF7"/>
    <w:rsid w:val="00A62208"/>
    <w:rsid w:val="00A63D7F"/>
    <w:rsid w:val="00A64586"/>
    <w:rsid w:val="00A7381A"/>
    <w:rsid w:val="00A86910"/>
    <w:rsid w:val="00A934E7"/>
    <w:rsid w:val="00A97749"/>
    <w:rsid w:val="00AA0514"/>
    <w:rsid w:val="00AA7C48"/>
    <w:rsid w:val="00AB1284"/>
    <w:rsid w:val="00AB6095"/>
    <w:rsid w:val="00AC569D"/>
    <w:rsid w:val="00AC6693"/>
    <w:rsid w:val="00AD1B32"/>
    <w:rsid w:val="00AD4931"/>
    <w:rsid w:val="00AD59AF"/>
    <w:rsid w:val="00AF0812"/>
    <w:rsid w:val="00AF3655"/>
    <w:rsid w:val="00AF6129"/>
    <w:rsid w:val="00B05EF4"/>
    <w:rsid w:val="00B13AB6"/>
    <w:rsid w:val="00B17FFA"/>
    <w:rsid w:val="00B353E5"/>
    <w:rsid w:val="00B51C96"/>
    <w:rsid w:val="00B65C7E"/>
    <w:rsid w:val="00B74619"/>
    <w:rsid w:val="00B7550F"/>
    <w:rsid w:val="00B82CED"/>
    <w:rsid w:val="00B92F7B"/>
    <w:rsid w:val="00BD5DA8"/>
    <w:rsid w:val="00BD78FB"/>
    <w:rsid w:val="00BF2809"/>
    <w:rsid w:val="00C13EC3"/>
    <w:rsid w:val="00C1662A"/>
    <w:rsid w:val="00C21131"/>
    <w:rsid w:val="00C258E8"/>
    <w:rsid w:val="00C266AB"/>
    <w:rsid w:val="00C372AD"/>
    <w:rsid w:val="00C56465"/>
    <w:rsid w:val="00C56960"/>
    <w:rsid w:val="00C95CDE"/>
    <w:rsid w:val="00C97E7F"/>
    <w:rsid w:val="00CC0ED7"/>
    <w:rsid w:val="00CC1DC6"/>
    <w:rsid w:val="00CC3EB8"/>
    <w:rsid w:val="00CF6275"/>
    <w:rsid w:val="00D1591D"/>
    <w:rsid w:val="00D24639"/>
    <w:rsid w:val="00D32CC0"/>
    <w:rsid w:val="00D35BFF"/>
    <w:rsid w:val="00D51C9C"/>
    <w:rsid w:val="00D65415"/>
    <w:rsid w:val="00D74619"/>
    <w:rsid w:val="00D82D6F"/>
    <w:rsid w:val="00D94759"/>
    <w:rsid w:val="00D96DDE"/>
    <w:rsid w:val="00DA0E7F"/>
    <w:rsid w:val="00DB3725"/>
    <w:rsid w:val="00DC041C"/>
    <w:rsid w:val="00DC063D"/>
    <w:rsid w:val="00DC70C1"/>
    <w:rsid w:val="00DD194E"/>
    <w:rsid w:val="00DE7ECE"/>
    <w:rsid w:val="00E1048D"/>
    <w:rsid w:val="00E14327"/>
    <w:rsid w:val="00E146FA"/>
    <w:rsid w:val="00E45A9C"/>
    <w:rsid w:val="00E4738E"/>
    <w:rsid w:val="00E50CF1"/>
    <w:rsid w:val="00E60EFF"/>
    <w:rsid w:val="00E65D0B"/>
    <w:rsid w:val="00E74639"/>
    <w:rsid w:val="00E80713"/>
    <w:rsid w:val="00E838AF"/>
    <w:rsid w:val="00E85439"/>
    <w:rsid w:val="00E9659A"/>
    <w:rsid w:val="00ED7B8D"/>
    <w:rsid w:val="00EE408D"/>
    <w:rsid w:val="00EE5E6B"/>
    <w:rsid w:val="00F131D4"/>
    <w:rsid w:val="00F16E4B"/>
    <w:rsid w:val="00F32DB5"/>
    <w:rsid w:val="00F40B91"/>
    <w:rsid w:val="00F41CBE"/>
    <w:rsid w:val="00F45B42"/>
    <w:rsid w:val="00F73EB9"/>
    <w:rsid w:val="00F83036"/>
    <w:rsid w:val="00F85547"/>
    <w:rsid w:val="00FA1409"/>
    <w:rsid w:val="00FB0D6C"/>
    <w:rsid w:val="00FC486E"/>
    <w:rsid w:val="00FD6560"/>
    <w:rsid w:val="00FD6D7B"/>
    <w:rsid w:val="00FE673F"/>
    <w:rsid w:val="00FF5771"/>
    <w:rsid w:val="00FF61CA"/>
    <w:rsid w:val="02056778"/>
    <w:rsid w:val="0355512A"/>
    <w:rsid w:val="04E42F38"/>
    <w:rsid w:val="0CCD460E"/>
    <w:rsid w:val="0EDC703A"/>
    <w:rsid w:val="0F866E5F"/>
    <w:rsid w:val="126F548F"/>
    <w:rsid w:val="1444244B"/>
    <w:rsid w:val="148B12E6"/>
    <w:rsid w:val="14EA645D"/>
    <w:rsid w:val="19181A3A"/>
    <w:rsid w:val="19DD0389"/>
    <w:rsid w:val="1A3D3083"/>
    <w:rsid w:val="1D074620"/>
    <w:rsid w:val="1FAF27B2"/>
    <w:rsid w:val="20684DBC"/>
    <w:rsid w:val="20A41476"/>
    <w:rsid w:val="20CF030D"/>
    <w:rsid w:val="22140B6D"/>
    <w:rsid w:val="225D796E"/>
    <w:rsid w:val="24EC6623"/>
    <w:rsid w:val="251B2B2D"/>
    <w:rsid w:val="25BC2C7C"/>
    <w:rsid w:val="2B930EA1"/>
    <w:rsid w:val="2BBD3669"/>
    <w:rsid w:val="2E16582B"/>
    <w:rsid w:val="2E4116FA"/>
    <w:rsid w:val="2E76621A"/>
    <w:rsid w:val="31262BAF"/>
    <w:rsid w:val="330F093A"/>
    <w:rsid w:val="33AD1E6F"/>
    <w:rsid w:val="34E37CA8"/>
    <w:rsid w:val="359E47FF"/>
    <w:rsid w:val="35B72FCB"/>
    <w:rsid w:val="35C91817"/>
    <w:rsid w:val="35DA3E68"/>
    <w:rsid w:val="379A3E49"/>
    <w:rsid w:val="37AD1125"/>
    <w:rsid w:val="39050DB8"/>
    <w:rsid w:val="391E61C3"/>
    <w:rsid w:val="3D98669F"/>
    <w:rsid w:val="416D2207"/>
    <w:rsid w:val="43EC12FF"/>
    <w:rsid w:val="44E509D4"/>
    <w:rsid w:val="455B22CF"/>
    <w:rsid w:val="49C10D2B"/>
    <w:rsid w:val="4A434323"/>
    <w:rsid w:val="4B060719"/>
    <w:rsid w:val="4D185277"/>
    <w:rsid w:val="4DC0511E"/>
    <w:rsid w:val="4ED14A41"/>
    <w:rsid w:val="4FAC5BC3"/>
    <w:rsid w:val="4FC61FF0"/>
    <w:rsid w:val="50846203"/>
    <w:rsid w:val="50DD469C"/>
    <w:rsid w:val="51ED4DB3"/>
    <w:rsid w:val="538763B9"/>
    <w:rsid w:val="55DC546E"/>
    <w:rsid w:val="579C3951"/>
    <w:rsid w:val="57AB707D"/>
    <w:rsid w:val="596D6B7C"/>
    <w:rsid w:val="5CEC747F"/>
    <w:rsid w:val="5FC1162D"/>
    <w:rsid w:val="654407EC"/>
    <w:rsid w:val="66202ABE"/>
    <w:rsid w:val="66441755"/>
    <w:rsid w:val="66CF713B"/>
    <w:rsid w:val="68961ACE"/>
    <w:rsid w:val="6B1479D8"/>
    <w:rsid w:val="6B5B4715"/>
    <w:rsid w:val="6D9745DB"/>
    <w:rsid w:val="726141AB"/>
    <w:rsid w:val="72B172DF"/>
    <w:rsid w:val="7406451D"/>
    <w:rsid w:val="756A3232"/>
    <w:rsid w:val="76853A1F"/>
    <w:rsid w:val="76CA658E"/>
    <w:rsid w:val="783458C3"/>
    <w:rsid w:val="79DC6491"/>
    <w:rsid w:val="7A1E0C67"/>
    <w:rsid w:val="7A5E5F9F"/>
    <w:rsid w:val="7B044DE1"/>
    <w:rsid w:val="7BEF4253"/>
    <w:rsid w:val="7BFF2E69"/>
    <w:rsid w:val="7D8A2C07"/>
    <w:rsid w:val="7DD7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99"/>
    <w:pPr>
      <w:keepNext/>
      <w:keepLines/>
      <w:spacing w:line="600" w:lineRule="exact"/>
      <w:jc w:val="center"/>
      <w:outlineLvl w:val="0"/>
    </w:pPr>
    <w:rPr>
      <w:rFonts w:ascii="Calibri" w:hAnsi="Calibri"/>
      <w:kern w:val="44"/>
      <w:sz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autoRedefine/>
    <w:unhideWhenUsed/>
    <w:qFormat/>
    <w:uiPriority w:val="99"/>
    <w:pPr>
      <w:spacing w:after="120"/>
    </w:pPr>
  </w:style>
  <w:style w:type="paragraph" w:styleId="6">
    <w:name w:val="Plain Text"/>
    <w:basedOn w:val="1"/>
    <w:unhideWhenUsed/>
    <w:qFormat/>
    <w:uiPriority w:val="99"/>
    <w:rPr>
      <w:rFonts w:ascii="宋体" w:hAnsi="Courier New"/>
      <w:kern w:val="0"/>
      <w:sz w:val="20"/>
    </w:rPr>
  </w:style>
  <w:style w:type="paragraph" w:styleId="7">
    <w:name w:val="Body Text Indent"/>
    <w:basedOn w:val="1"/>
    <w:autoRedefine/>
    <w:unhideWhenUsed/>
    <w:qFormat/>
    <w:uiPriority w:val="0"/>
    <w:pPr>
      <w:spacing w:after="120"/>
      <w:ind w:left="420" w:leftChars="200"/>
    </w:p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kern w:val="0"/>
      <w:sz w:val="32"/>
      <w:szCs w:val="32"/>
    </w:rPr>
  </w:style>
  <w:style w:type="paragraph" w:styleId="12">
    <w:name w:val="Body Text First Indent 2"/>
    <w:basedOn w:val="7"/>
    <w:autoRedefine/>
    <w:qFormat/>
    <w:uiPriority w:val="99"/>
    <w:pPr>
      <w:adjustRightInd w:val="0"/>
      <w:spacing w:after="0" w:line="312" w:lineRule="atLeast"/>
      <w:ind w:left="1296" w:leftChars="0"/>
      <w:textAlignment w:val="baseline"/>
    </w:pPr>
    <w:rPr>
      <w:rFonts w:eastAsia="仿宋_GB2312"/>
      <w:kern w:val="21"/>
      <w:sz w:val="32"/>
    </w:rPr>
  </w:style>
  <w:style w:type="table" w:styleId="14">
    <w:name w:val="Table Grid"/>
    <w:basedOn w:val="13"/>
    <w:qFormat/>
    <w:uiPriority w:val="59"/>
    <w:rPr>
      <w:rFonts w:eastAsia="微软雅黑" w:asciiTheme="minorHAnsi" w:hAnsiTheme="minorHAnsi"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列出段落11"/>
    <w:basedOn w:val="1"/>
    <w:qFormat/>
    <w:uiPriority w:val="99"/>
    <w:pPr>
      <w:ind w:firstLine="420" w:firstLineChars="200"/>
    </w:pPr>
  </w:style>
  <w:style w:type="paragraph" w:customStyle="1" w:styleId="1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autoRedefine/>
    <w:qFormat/>
    <w:uiPriority w:val="34"/>
    <w:pPr>
      <w:ind w:firstLine="420" w:firstLineChars="200"/>
    </w:p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82A2A-4A47-47D6-8A8A-FE7D4511228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5607</Words>
  <Characters>5893</Characters>
  <Lines>44</Lines>
  <Paragraphs>12</Paragraphs>
  <TotalTime>0</TotalTime>
  <ScaleCrop>false</ScaleCrop>
  <LinksUpToDate>false</LinksUpToDate>
  <CharactersWithSpaces>6023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2025-01-06T07:28:00Z</dcterms:created>
  <dc:creator>Administrator</dc:creator>
  <cp:lastModifiedBy>yyq.</cp:lastModifiedBy>
  <cp:lastPrinted>2023-03-16T00:26:00Z</cp:lastPrinted>
  <dcterms:modified xsi:type="dcterms:W3CDTF">2025-01-07T08:10:35Z</dcterms:modified>
  <dc:title>镇江海纳川物流产业发展有限责任公司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E695694EA80D48E1A54CF3A3083423BA_13</vt:lpwstr>
  </property>
  <property fmtid="{D5CDD505-2E9C-101B-9397-08002B2CF9AE}" pid="4" name="KSOTemplateDocerSaveRecord">
    <vt:lpwstr>eyJoZGlkIjoiYmFhOThjNjg2YjgxMzJjYThhNDQ5ZTZmNGI1ZGM0ZDkiLCJ1c2VySWQiOiI1NDQ5ODI3MTIifQ==</vt:lpwstr>
  </property>
</Properties>
</file>