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F058F">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kern w:val="0"/>
          <w:sz w:val="34"/>
          <w:szCs w:val="34"/>
        </w:rPr>
      </w:pPr>
      <w:r>
        <w:rPr>
          <w:rFonts w:hint="eastAsia" w:ascii="黑体" w:hAnsi="宋体" w:eastAsia="黑体" w:cs="黑体"/>
          <w:kern w:val="0"/>
          <w:sz w:val="34"/>
          <w:szCs w:val="34"/>
          <w:lang w:val="en-US" w:eastAsia="zh-CN" w:bidi="ar"/>
        </w:rPr>
        <w:t xml:space="preserve">    </w:t>
      </w:r>
    </w:p>
    <w:p w14:paraId="0C594CE7">
      <w:pPr>
        <w:keepNext w:val="0"/>
        <w:keepLines w:val="0"/>
        <w:widowControl w:val="0"/>
        <w:suppressLineNumbers w:val="0"/>
        <w:spacing w:before="0" w:beforeAutospacing="0" w:after="0" w:afterAutospacing="0" w:line="600" w:lineRule="exact"/>
        <w:ind w:left="0" w:right="0"/>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bidi="ar"/>
        </w:rPr>
        <w:t>索普新材料绝热管理细则</w:t>
      </w:r>
    </w:p>
    <w:p w14:paraId="58D70E8F">
      <w:pPr>
        <w:pStyle w:val="3"/>
        <w:widowControl/>
        <w:spacing w:before="0" w:beforeAutospacing="1"/>
        <w:ind w:left="0" w:right="0"/>
        <w:rPr>
          <w:rFonts w:hint="default" w:ascii="Times New Roman" w:hAnsi="Times New Roman" w:cs="Times New Roman"/>
          <w:kern w:val="2"/>
          <w:sz w:val="21"/>
          <w:szCs w:val="21"/>
        </w:rPr>
      </w:pPr>
      <w:r>
        <w:rPr>
          <w:rFonts w:hint="default" w:ascii="Times New Roman" w:hAnsi="Times New Roman" w:cs="Times New Roman"/>
          <w:kern w:val="2"/>
          <w:sz w:val="21"/>
          <w:szCs w:val="21"/>
        </w:rPr>
        <w:t xml:space="preserve"> </w:t>
      </w:r>
    </w:p>
    <w:p w14:paraId="0B8585AD">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kern w:val="0"/>
          <w:sz w:val="34"/>
          <w:szCs w:val="34"/>
        </w:rPr>
      </w:pPr>
      <w:r>
        <w:rPr>
          <w:rFonts w:hint="eastAsia" w:ascii="黑体" w:hAnsi="宋体" w:eastAsia="黑体" w:cs="黑体"/>
          <w:kern w:val="0"/>
          <w:sz w:val="34"/>
          <w:szCs w:val="34"/>
          <w:lang w:val="en-US" w:eastAsia="zh-CN" w:bidi="ar"/>
        </w:rPr>
        <w:t xml:space="preserve">                 第一章  总则</w:t>
      </w:r>
    </w:p>
    <w:p w14:paraId="4985322C">
      <w:pPr>
        <w:keepNext w:val="0"/>
        <w:keepLines w:val="0"/>
        <w:widowControl w:val="0"/>
        <w:suppressLineNumbers w:val="0"/>
        <w:spacing w:before="0" w:beforeAutospacing="0" w:after="0" w:afterAutospacing="0" w:line="600" w:lineRule="exact"/>
        <w:ind w:left="0" w:right="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 xml:space="preserve">    </w:t>
      </w:r>
      <w:r>
        <w:rPr>
          <w:rFonts w:hint="eastAsia" w:ascii="仿宋_GB2312" w:hAnsi="Times New Roman" w:eastAsia="仿宋_GB2312" w:cs="仿宋_GB2312"/>
          <w:b/>
          <w:bCs/>
          <w:kern w:val="0"/>
          <w:sz w:val="34"/>
          <w:szCs w:val="34"/>
          <w:lang w:val="en-US" w:eastAsia="zh-CN" w:bidi="ar"/>
        </w:rPr>
        <w:t>第一条</w:t>
      </w:r>
      <w:r>
        <w:rPr>
          <w:rFonts w:hint="eastAsia" w:ascii="仿宋_GB2312" w:hAnsi="Times New Roman" w:eastAsia="仿宋_GB2312" w:cs="仿宋_GB2312"/>
          <w:kern w:val="0"/>
          <w:sz w:val="34"/>
          <w:szCs w:val="34"/>
          <w:lang w:val="en-US" w:eastAsia="zh-CN" w:bidi="ar"/>
        </w:rPr>
        <w:t xml:space="preserve"> 为规范公司设备及管道绝热管理工作，满足生产工艺及节能减排的要求，改善施工环境条件，依据《工业设备及管道绝热工程设计规范》（GB 50264-2013）、《工业设备及管道绝热工程施工规范》（GB 50126-2008）、《工业设备及管道绝热工程施工质量验收标准》（GBT 50185-2019），结合公司实际情况，制定本细则。</w:t>
      </w:r>
    </w:p>
    <w:p w14:paraId="24682498">
      <w:pPr>
        <w:keepNext w:val="0"/>
        <w:keepLines w:val="0"/>
        <w:widowControl w:val="0"/>
        <w:suppressLineNumbers w:val="0"/>
        <w:spacing w:before="0" w:beforeAutospacing="0" w:after="0" w:afterAutospacing="0" w:line="600" w:lineRule="exact"/>
        <w:ind w:left="0" w:right="0" w:firstLine="682"/>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第二条 </w:t>
      </w:r>
      <w:r>
        <w:rPr>
          <w:rFonts w:hint="eastAsia" w:ascii="仿宋_GB2312" w:hAnsi="Times New Roman" w:eastAsia="仿宋_GB2312" w:cs="仿宋_GB2312"/>
          <w:kern w:val="0"/>
          <w:sz w:val="34"/>
          <w:szCs w:val="34"/>
          <w:lang w:val="en-US" w:eastAsia="zh-CN" w:bidi="ar"/>
        </w:rPr>
        <w:t>本细则适用于公司所有设备及工艺管线绝热管理。</w:t>
      </w:r>
    </w:p>
    <w:p w14:paraId="11ABFB80">
      <w:pPr>
        <w:keepNext w:val="0"/>
        <w:keepLines w:val="0"/>
        <w:widowControl w:val="0"/>
        <w:suppressLineNumbers w:val="0"/>
        <w:spacing w:before="0" w:beforeAutospacing="0" w:after="0" w:afterAutospacing="0" w:line="600" w:lineRule="exact"/>
        <w:ind w:left="0" w:right="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 xml:space="preserve">    </w:t>
      </w:r>
      <w:r>
        <w:rPr>
          <w:rFonts w:hint="eastAsia" w:ascii="仿宋_GB2312" w:hAnsi="Times New Roman" w:eastAsia="仿宋_GB2312" w:cs="仿宋_GB2312"/>
          <w:b/>
          <w:bCs/>
          <w:kern w:val="0"/>
          <w:sz w:val="34"/>
          <w:szCs w:val="34"/>
          <w:lang w:val="en-US" w:eastAsia="zh-CN" w:bidi="ar"/>
        </w:rPr>
        <w:t xml:space="preserve">第三条 </w:t>
      </w:r>
      <w:r>
        <w:rPr>
          <w:rFonts w:hint="eastAsia" w:ascii="仿宋_GB2312" w:hAnsi="Times New Roman" w:eastAsia="仿宋_GB2312" w:cs="仿宋_GB2312"/>
          <w:kern w:val="0"/>
          <w:sz w:val="34"/>
          <w:szCs w:val="34"/>
          <w:lang w:val="en-US" w:eastAsia="zh-CN" w:bidi="ar"/>
        </w:rPr>
        <w:t>保温与保冷统称绝热。保温即为减少设备、管道及其附件向周围环境散热或降低表面温度在其外表面采取的包覆措施；保冷即为减少周围环境中的热量传入低温设备及管道内部，防止低温设备及管道外壁表面凝露，在其外表面采取的包覆措施。</w:t>
      </w:r>
    </w:p>
    <w:p w14:paraId="54CD3671">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第四条</w:t>
      </w:r>
      <w:r>
        <w:rPr>
          <w:rFonts w:hint="eastAsia" w:ascii="仿宋_GB2312" w:hAnsi="Times New Roman" w:eastAsia="仿宋_GB2312" w:cs="仿宋_GB2312"/>
          <w:kern w:val="0"/>
          <w:sz w:val="34"/>
          <w:szCs w:val="34"/>
          <w:lang w:val="en-US" w:eastAsia="zh-CN" w:bidi="ar"/>
        </w:rPr>
        <w:t xml:space="preserve"> 绝热结构由绝热层、防潮层、保护层等组成的结构综合体。保温结构一般由保温层和保护层组成；保冷结构一般由保冷层、防潮层和保护层组成。</w:t>
      </w:r>
    </w:p>
    <w:p w14:paraId="2B1B04BC">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第五条</w:t>
      </w:r>
      <w:r>
        <w:rPr>
          <w:rFonts w:hint="eastAsia" w:ascii="仿宋_GB2312" w:hAnsi="Times New Roman" w:eastAsia="仿宋_GB2312" w:cs="仿宋_GB2312"/>
          <w:kern w:val="0"/>
          <w:sz w:val="34"/>
          <w:szCs w:val="34"/>
          <w:lang w:val="en-US" w:eastAsia="zh-CN" w:bidi="ar"/>
        </w:rPr>
        <w:t xml:space="preserve"> 装备保障部负责绝热监督管理工作，属地部门负责绝热施工管理及质量验收工作。</w:t>
      </w:r>
    </w:p>
    <w:p w14:paraId="0E9FBE37">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kern w:val="0"/>
          <w:sz w:val="34"/>
          <w:szCs w:val="34"/>
        </w:rPr>
      </w:pPr>
      <w:r>
        <w:rPr>
          <w:rFonts w:hint="eastAsia" w:ascii="黑体" w:hAnsi="宋体" w:eastAsia="黑体" w:cs="黑体"/>
          <w:kern w:val="0"/>
          <w:sz w:val="34"/>
          <w:szCs w:val="34"/>
          <w:lang w:val="en-US" w:eastAsia="zh-CN" w:bidi="ar"/>
        </w:rPr>
        <w:t>第二章  基本要求</w:t>
      </w:r>
    </w:p>
    <w:p w14:paraId="4EF8ED05">
      <w:pPr>
        <w:pStyle w:val="3"/>
        <w:widowControl/>
        <w:spacing w:before="0" w:beforeAutospacing="1"/>
        <w:ind w:left="0" w:right="0"/>
        <w:rPr>
          <w:rFonts w:hint="default" w:ascii="Times New Roman" w:hAnsi="Times New Roman" w:cs="Times New Roman"/>
          <w:kern w:val="2"/>
          <w:sz w:val="21"/>
          <w:szCs w:val="21"/>
        </w:rPr>
      </w:pPr>
      <w:r>
        <w:rPr>
          <w:rFonts w:hint="default" w:ascii="Times New Roman" w:hAnsi="Times New Roman" w:cs="Times New Roman"/>
          <w:kern w:val="2"/>
          <w:sz w:val="21"/>
          <w:szCs w:val="21"/>
        </w:rPr>
        <w:t xml:space="preserve"> </w:t>
      </w:r>
    </w:p>
    <w:p w14:paraId="38EB13EE">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第六条 </w:t>
      </w:r>
      <w:r>
        <w:rPr>
          <w:rFonts w:hint="eastAsia" w:ascii="仿宋_GB2312" w:hAnsi="Times New Roman" w:eastAsia="仿宋_GB2312" w:cs="仿宋_GB2312"/>
          <w:kern w:val="0"/>
          <w:sz w:val="34"/>
          <w:szCs w:val="34"/>
          <w:lang w:val="en-US" w:eastAsia="zh-CN" w:bidi="ar"/>
        </w:rPr>
        <w:t>除生产工艺特殊要求外，具有下列情况之一的设备、管道及其附件，应进行保温:</w:t>
      </w:r>
    </w:p>
    <w:p w14:paraId="7469A01E">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（一）外表面温度高于50℃(环境温度为25℃时)且工艺需要减少散热损失者。</w:t>
      </w:r>
    </w:p>
    <w:p w14:paraId="11B7FB07">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（二）外表面温度低于或等于50℃且工艺需要减少介质的温度降低或延迟介质凝结者。</w:t>
      </w:r>
    </w:p>
    <w:p w14:paraId="0E6AB1CD">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三）工艺不要求保温的设备及管道，当其表面温度超过60℃，对需要操作维护,又无法采取措施防止人身烫伤的部位；距地面或工作台面2.1米高度以下及工作台面边缘与热表面间的距离小于0.75米的范围内，必须设置防烫伤保温设施。</w:t>
      </w:r>
    </w:p>
    <w:p w14:paraId="4B57983E">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第七条 </w:t>
      </w:r>
      <w:r>
        <w:rPr>
          <w:rFonts w:hint="eastAsia" w:ascii="仿宋_GB2312" w:hAnsi="Times New Roman" w:eastAsia="仿宋_GB2312" w:cs="仿宋_GB2312"/>
          <w:kern w:val="0"/>
          <w:sz w:val="34"/>
          <w:szCs w:val="34"/>
          <w:lang w:val="en-US" w:eastAsia="zh-CN" w:bidi="ar"/>
        </w:rPr>
        <w:t>除生产工艺特殊要</w:t>
      </w:r>
      <w:bookmarkStart w:id="0" w:name="_GoBack"/>
      <w:bookmarkEnd w:id="0"/>
      <w:r>
        <w:rPr>
          <w:rFonts w:hint="eastAsia" w:ascii="仿宋_GB2312" w:hAnsi="Times New Roman" w:eastAsia="仿宋_GB2312" w:cs="仿宋_GB2312"/>
          <w:kern w:val="0"/>
          <w:sz w:val="34"/>
          <w:szCs w:val="34"/>
          <w:lang w:val="en-US" w:eastAsia="zh-CN" w:bidi="ar"/>
        </w:rPr>
        <w:t>求外，具有下列情况之一的设备、管道及其附件,应进行保冷:</w:t>
      </w:r>
    </w:p>
    <w:p w14:paraId="1BC45F14">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（一）外表面温度低于环境温度且需减少冷介质在生产和输送过程中冷损失量的。</w:t>
      </w:r>
    </w:p>
    <w:p w14:paraId="4D62EF70">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（二）需减少冷介质在生产和输送过程中温度升高或气化的。</w:t>
      </w:r>
    </w:p>
    <w:p w14:paraId="27D77F92">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（三）为防止常温以下，0℃以上设备及管道外壁表面凝露的。</w:t>
      </w:r>
    </w:p>
    <w:p w14:paraId="3EE086B4">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（四）与保冷设备或管道相连的仪表及其附件。</w:t>
      </w:r>
    </w:p>
    <w:p w14:paraId="3D5C7925">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第八条 </w:t>
      </w:r>
      <w:r>
        <w:rPr>
          <w:rFonts w:hint="eastAsia" w:ascii="仿宋_GB2312" w:hAnsi="Times New Roman" w:eastAsia="仿宋_GB2312" w:cs="仿宋_GB2312"/>
          <w:kern w:val="0"/>
          <w:sz w:val="34"/>
          <w:szCs w:val="34"/>
          <w:lang w:val="en-US" w:eastAsia="zh-CN" w:bidi="ar"/>
        </w:rPr>
        <w:t>除人身防护要求绝热的部位外，具有下列情况之一的设备、管道及其附件不应绝热:</w:t>
      </w:r>
    </w:p>
    <w:p w14:paraId="02B04089">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（一）工艺上无特殊要求的放空和排气管道；</w:t>
      </w:r>
    </w:p>
    <w:p w14:paraId="39E7FF06">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b/>
          <w:bCs/>
          <w:kern w:val="0"/>
          <w:sz w:val="34"/>
          <w:szCs w:val="34"/>
        </w:rPr>
      </w:pPr>
      <w:r>
        <w:rPr>
          <w:rFonts w:hint="eastAsia" w:ascii="仿宋_GB2312" w:hAnsi="Times New Roman" w:eastAsia="仿宋_GB2312" w:cs="仿宋_GB2312"/>
          <w:kern w:val="0"/>
          <w:sz w:val="34"/>
          <w:szCs w:val="34"/>
          <w:lang w:val="en-US" w:eastAsia="zh-CN" w:bidi="ar"/>
        </w:rPr>
        <w:t>（二）工艺过程要求裸露的设备及管道。</w:t>
      </w:r>
    </w:p>
    <w:p w14:paraId="27A159B3">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第九条 </w:t>
      </w:r>
      <w:r>
        <w:rPr>
          <w:rFonts w:hint="eastAsia" w:ascii="仿宋_GB2312" w:hAnsi="Times New Roman" w:eastAsia="仿宋_GB2312" w:cs="仿宋_GB2312"/>
          <w:kern w:val="0"/>
          <w:sz w:val="34"/>
          <w:szCs w:val="34"/>
          <w:lang w:val="en-US" w:eastAsia="zh-CN" w:bidi="ar"/>
        </w:rPr>
        <w:t>对原工艺设计绝热措施的设备、管道及附件不得擅自变更设计参数，如材料种类及厚度等，如需变更，需办理变更手续。变更绝热材料种类和厚度参数的，原则上需要重新设计核定。变更保护层材料种类和厚度的，经装备保障部同意方可。</w:t>
      </w:r>
    </w:p>
    <w:p w14:paraId="7421F4DC">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hAnsi="Times New Roman" w:eastAsia="仿宋_GB2312" w:cs="仿宋_GB2312"/>
          <w:kern w:val="0"/>
          <w:sz w:val="34"/>
          <w:szCs w:val="34"/>
          <w:lang w:val="en-US" w:eastAsia="zh-CN" w:bidi="ar"/>
        </w:rPr>
      </w:pPr>
      <w:r>
        <w:rPr>
          <w:rFonts w:hint="eastAsia" w:ascii="仿宋_GB2312" w:hAnsi="Times New Roman" w:eastAsia="仿宋_GB2312" w:cs="仿宋_GB2312"/>
          <w:b/>
          <w:bCs/>
          <w:kern w:val="0"/>
          <w:sz w:val="34"/>
          <w:szCs w:val="34"/>
          <w:lang w:val="en-US" w:eastAsia="zh-CN" w:bidi="ar"/>
        </w:rPr>
        <w:t>第十条</w:t>
      </w:r>
      <w:r>
        <w:rPr>
          <w:rFonts w:hint="eastAsia" w:ascii="仿宋_GB2312" w:hAnsi="Times New Roman" w:eastAsia="仿宋_GB2312" w:cs="仿宋_GB2312"/>
          <w:kern w:val="0"/>
          <w:sz w:val="34"/>
          <w:szCs w:val="34"/>
          <w:lang w:val="en-US" w:eastAsia="zh-CN" w:bidi="ar"/>
        </w:rPr>
        <w:t xml:space="preserve"> 属地部门应严格按OA申报流程做好施工申请单申报工作，经批准后实施。</w:t>
      </w:r>
    </w:p>
    <w:p w14:paraId="348C650E">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第十一条 </w:t>
      </w:r>
      <w:r>
        <w:rPr>
          <w:rFonts w:hint="eastAsia" w:ascii="仿宋_GB2312" w:eastAsia="仿宋_GB2312" w:cs="仿宋_GB2312"/>
          <w:kern w:val="0"/>
          <w:sz w:val="34"/>
          <w:szCs w:val="34"/>
        </w:rPr>
        <w:t>对于保护层表面温度异常，导致能耗异常现象，不满足原工艺设计要求，属地部门须查明原因，并制定整改措施。无设计要求参照如下标准。</w:t>
      </w:r>
    </w:p>
    <w:p w14:paraId="2F00C2E6">
      <w:pPr>
        <w:keepNext w:val="0"/>
        <w:keepLines w:val="0"/>
        <w:widowControl w:val="0"/>
        <w:suppressLineNumbers w:val="0"/>
        <w:spacing w:before="0" w:beforeAutospacing="0" w:after="0" w:afterAutospacing="0" w:line="600" w:lineRule="exact"/>
        <w:ind w:left="0" w:right="0" w:firstLine="680" w:firstLineChars="200"/>
        <w:jc w:val="both"/>
        <w:rPr>
          <w:rFonts w:hint="eastAsia" w:ascii="仿宋_GB2312" w:eastAsia="仿宋_GB2312" w:cs="仿宋_GB2312"/>
          <w:kern w:val="0"/>
          <w:sz w:val="34"/>
          <w:szCs w:val="34"/>
        </w:rPr>
      </w:pPr>
      <w:r>
        <w:rPr>
          <w:rFonts w:hint="eastAsia" w:ascii="仿宋_GB2312" w:eastAsia="仿宋_GB2312" w:cs="仿宋_GB2312"/>
          <w:kern w:val="0"/>
          <w:sz w:val="34"/>
          <w:szCs w:val="34"/>
        </w:rPr>
        <w:t>1.设备、管道经过保温后，其保护层外表面温度要求必须低于50℃；</w:t>
      </w:r>
    </w:p>
    <w:p w14:paraId="43C37897">
      <w:pPr>
        <w:keepNext w:val="0"/>
        <w:keepLines w:val="0"/>
        <w:widowControl w:val="0"/>
        <w:suppressLineNumbers w:val="0"/>
        <w:spacing w:before="0" w:beforeAutospacing="0" w:after="0" w:afterAutospacing="0" w:line="600" w:lineRule="exact"/>
        <w:ind w:left="0" w:right="0" w:firstLine="680" w:firstLineChars="200"/>
        <w:jc w:val="both"/>
        <w:rPr>
          <w:rFonts w:hint="eastAsia" w:ascii="仿宋_GB2312" w:eastAsia="仿宋_GB2312" w:cs="仿宋_GB2312"/>
          <w:kern w:val="0"/>
          <w:sz w:val="34"/>
          <w:szCs w:val="34"/>
        </w:rPr>
      </w:pPr>
      <w:r>
        <w:rPr>
          <w:rFonts w:hint="eastAsia" w:ascii="仿宋_GB2312" w:eastAsia="仿宋_GB2312" w:cs="仿宋_GB2312"/>
          <w:kern w:val="0"/>
          <w:sz w:val="34"/>
          <w:szCs w:val="34"/>
        </w:rPr>
        <w:t>2.设备、管道经过保冷后，其保护层外表面温度要求不超过露点温度。</w:t>
      </w:r>
    </w:p>
    <w:p w14:paraId="11495B8E">
      <w:pPr>
        <w:keepNext w:val="0"/>
        <w:keepLines w:val="0"/>
        <w:widowControl w:val="0"/>
        <w:suppressLineNumbers w:val="0"/>
        <w:spacing w:before="0" w:beforeAutospacing="0" w:after="0" w:afterAutospacing="0" w:line="600" w:lineRule="exact"/>
        <w:ind w:left="0" w:right="0" w:firstLine="680" w:firstLineChars="200"/>
        <w:jc w:val="both"/>
        <w:rPr>
          <w:rFonts w:hint="default" w:ascii="仿宋_GB2312" w:eastAsia="仿宋_GB2312" w:cs="仿宋_GB2312"/>
          <w:kern w:val="0"/>
          <w:sz w:val="34"/>
          <w:szCs w:val="34"/>
        </w:rPr>
      </w:pPr>
      <w:r>
        <w:rPr>
          <w:rFonts w:hint="eastAsia" w:ascii="仿宋_GB2312" w:eastAsia="仿宋_GB2312" w:cs="仿宋_GB2312"/>
          <w:kern w:val="0"/>
          <w:sz w:val="34"/>
          <w:szCs w:val="34"/>
          <w:lang w:val="en-US" w:eastAsia="zh-CN"/>
        </w:rPr>
        <w:t>3.</w:t>
      </w:r>
      <w:r>
        <w:rPr>
          <w:rFonts w:hint="eastAsia" w:ascii="仿宋_GB2312" w:eastAsia="仿宋_GB2312" w:cs="仿宋_GB2312"/>
          <w:kern w:val="0"/>
          <w:sz w:val="34"/>
          <w:szCs w:val="34"/>
        </w:rPr>
        <w:t>因检修、抢修所拆除的保温（冷），待检修结束后立即恢复，最迟不得超过1天。</w:t>
      </w:r>
    </w:p>
    <w:p w14:paraId="11B461E7">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kern w:val="0"/>
          <w:sz w:val="34"/>
          <w:szCs w:val="34"/>
        </w:rPr>
      </w:pPr>
      <w:r>
        <w:rPr>
          <w:rFonts w:hint="eastAsia" w:ascii="黑体" w:hAnsi="宋体" w:eastAsia="黑体" w:cs="黑体"/>
          <w:kern w:val="0"/>
          <w:sz w:val="34"/>
          <w:szCs w:val="34"/>
          <w:lang w:val="en-US" w:eastAsia="zh-CN" w:bidi="ar"/>
        </w:rPr>
        <w:t>第三章  质量控制与验收</w:t>
      </w:r>
    </w:p>
    <w:p w14:paraId="0B6E17B1">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第十二条</w:t>
      </w:r>
      <w:r>
        <w:rPr>
          <w:rFonts w:hint="eastAsia" w:ascii="仿宋_GB2312" w:hAnsi="Times New Roman" w:eastAsia="仿宋_GB2312" w:cs="仿宋_GB2312"/>
          <w:kern w:val="0"/>
          <w:sz w:val="34"/>
          <w:szCs w:val="34"/>
          <w:lang w:val="en-US" w:eastAsia="zh-CN" w:bidi="ar"/>
        </w:rPr>
        <w:t xml:space="preserve"> 属地部门提出施工申请单时，应如实填写施工工作量及施工要求，包括不限于设备、管道公称尺寸、绝热材料种类及厚度、保护层材料种类及厚度、面积或长度等。</w:t>
      </w:r>
    </w:p>
    <w:p w14:paraId="1301866C">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第十三条 </w:t>
      </w:r>
      <w:r>
        <w:rPr>
          <w:rFonts w:hint="eastAsia" w:ascii="仿宋_GB2312" w:hAnsi="Times New Roman" w:eastAsia="仿宋_GB2312" w:cs="仿宋_GB2312"/>
          <w:kern w:val="0"/>
          <w:sz w:val="34"/>
          <w:szCs w:val="34"/>
          <w:lang w:val="en-US" w:eastAsia="zh-CN" w:bidi="ar"/>
        </w:rPr>
        <w:t>施工单位应依据施工申请单内容要求，编制施工方案，经属地部门批准后方可实施。施工要求如下：</w:t>
      </w:r>
    </w:p>
    <w:p w14:paraId="30FD1997">
      <w:pPr>
        <w:keepNext w:val="0"/>
        <w:keepLines w:val="0"/>
        <w:widowControl w:val="0"/>
        <w:suppressLineNumbers w:val="0"/>
        <w:spacing w:before="0" w:beforeAutospacing="0" w:after="0" w:afterAutospacing="0" w:line="600" w:lineRule="exact"/>
        <w:ind w:left="0" w:right="0" w:firstLine="680" w:firstLineChars="20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（一）严格按照要求在现场指定区域、部位施工，施工材料摆放有序。</w:t>
      </w:r>
    </w:p>
    <w:p w14:paraId="79B8F6F0">
      <w:pPr>
        <w:keepNext w:val="0"/>
        <w:keepLines w:val="0"/>
        <w:widowControl w:val="0"/>
        <w:suppressLineNumbers w:val="0"/>
        <w:spacing w:before="0" w:beforeAutospacing="0" w:after="0" w:afterAutospacing="0" w:line="600" w:lineRule="exact"/>
        <w:ind w:left="0" w:right="0" w:firstLine="680" w:firstLineChars="20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（二）严格按照施工方案内容进行作业。</w:t>
      </w:r>
    </w:p>
    <w:p w14:paraId="2B1BBD7E">
      <w:pPr>
        <w:keepNext w:val="0"/>
        <w:keepLines w:val="0"/>
        <w:widowControl w:val="0"/>
        <w:suppressLineNumbers w:val="0"/>
        <w:spacing w:before="0" w:beforeAutospacing="0" w:after="0" w:afterAutospacing="0" w:line="600" w:lineRule="exact"/>
        <w:ind w:left="0" w:right="0" w:firstLine="680" w:firstLineChars="200"/>
        <w:jc w:val="left"/>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（三）绝热施工不得覆盖设备铭牌，必要时将铭牌移植于保护层上面。</w:t>
      </w:r>
    </w:p>
    <w:p w14:paraId="2A1F8F2D">
      <w:pPr>
        <w:keepNext w:val="0"/>
        <w:keepLines w:val="0"/>
        <w:widowControl w:val="0"/>
        <w:suppressLineNumbers w:val="0"/>
        <w:spacing w:before="0" w:beforeAutospacing="0" w:after="0" w:afterAutospacing="0" w:line="600" w:lineRule="exact"/>
        <w:ind w:left="0" w:right="0" w:firstLine="680" w:firstLineChars="200"/>
        <w:jc w:val="left"/>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（四）做到工完料尽场地清，现场拆除后无用保温材料分别装袋后运到指定地点。</w:t>
      </w:r>
    </w:p>
    <w:p w14:paraId="54D3A48F">
      <w:pPr>
        <w:keepNext w:val="0"/>
        <w:keepLines w:val="0"/>
        <w:widowControl w:val="0"/>
        <w:suppressLineNumbers w:val="0"/>
        <w:spacing w:before="0" w:beforeAutospacing="0" w:after="0" w:afterAutospacing="0" w:line="600" w:lineRule="exact"/>
        <w:ind w:left="0" w:right="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 xml:space="preserve">    </w:t>
      </w:r>
      <w:r>
        <w:rPr>
          <w:rFonts w:hint="eastAsia" w:ascii="仿宋_GB2312" w:hAnsi="Times New Roman" w:eastAsia="仿宋_GB2312" w:cs="仿宋_GB2312"/>
          <w:b/>
          <w:bCs/>
          <w:kern w:val="0"/>
          <w:sz w:val="34"/>
          <w:szCs w:val="34"/>
          <w:lang w:val="en-US" w:eastAsia="zh-CN" w:bidi="ar"/>
        </w:rPr>
        <w:t xml:space="preserve">第十四条 </w:t>
      </w:r>
      <w:r>
        <w:rPr>
          <w:rFonts w:hint="eastAsia" w:ascii="仿宋_GB2312" w:hAnsi="Times New Roman" w:eastAsia="仿宋_GB2312" w:cs="仿宋_GB2312"/>
          <w:kern w:val="0"/>
          <w:sz w:val="34"/>
          <w:szCs w:val="34"/>
          <w:lang w:val="en-US" w:eastAsia="zh-CN" w:bidi="ar"/>
        </w:rPr>
        <w:t>属地部门应做好施工前绝热材料质量和数量核查，以及施工过程质量检查、质量验收工作。</w:t>
      </w:r>
    </w:p>
    <w:p w14:paraId="62E4E433">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第十五条 </w:t>
      </w:r>
      <w:r>
        <w:rPr>
          <w:rFonts w:hint="eastAsia" w:ascii="仿宋_GB2312" w:hAnsi="Times New Roman" w:eastAsia="仿宋_GB2312" w:cs="仿宋_GB2312"/>
          <w:kern w:val="0"/>
          <w:sz w:val="34"/>
          <w:szCs w:val="34"/>
          <w:lang w:val="en-US" w:eastAsia="zh-CN" w:bidi="ar"/>
        </w:rPr>
        <w:t xml:space="preserve">绝热项目施工严格施工按照《工业设备及管道绝热工程施工规范》（GB 50126-2008）执行。 </w:t>
      </w:r>
    </w:p>
    <w:p w14:paraId="02BA0810">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第十六条 </w:t>
      </w:r>
      <w:r>
        <w:rPr>
          <w:rFonts w:hint="eastAsia" w:ascii="仿宋_GB2312" w:hAnsi="Times New Roman" w:eastAsia="仿宋_GB2312" w:cs="仿宋_GB2312"/>
          <w:kern w:val="0"/>
          <w:sz w:val="34"/>
          <w:szCs w:val="34"/>
          <w:lang w:val="en-US" w:eastAsia="zh-CN" w:bidi="ar"/>
        </w:rPr>
        <w:t>防腐、衬里的工业设备及管道上焊接绝热层的固定件时，焊接及焊后热处理必须在防腐、衬里和试压之前进行。</w:t>
      </w:r>
    </w:p>
    <w:p w14:paraId="71E4C0F0">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第十七条 </w:t>
      </w:r>
      <w:r>
        <w:rPr>
          <w:rFonts w:hint="eastAsia" w:ascii="仿宋_GB2312" w:hAnsi="Times New Roman" w:eastAsia="仿宋_GB2312" w:cs="仿宋_GB2312"/>
          <w:kern w:val="0"/>
          <w:sz w:val="34"/>
          <w:szCs w:val="34"/>
          <w:lang w:val="en-US" w:eastAsia="zh-CN" w:bidi="ar"/>
        </w:rPr>
        <w:t>雨雪天不宜进行室外绝热工程的施工。当在雨雪天、寒冷季节进行室外绝热工程施工时，应采取防雨雪和防冻措施。</w:t>
      </w:r>
    </w:p>
    <w:p w14:paraId="6E579EB0">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第十八条 </w:t>
      </w:r>
      <w:r>
        <w:rPr>
          <w:rFonts w:hint="eastAsia" w:ascii="仿宋_GB2312" w:hAnsi="Times New Roman" w:eastAsia="仿宋_GB2312" w:cs="仿宋_GB2312"/>
          <w:kern w:val="0"/>
          <w:sz w:val="34"/>
          <w:szCs w:val="34"/>
          <w:lang w:val="en-US" w:eastAsia="zh-CN" w:bidi="ar"/>
        </w:rPr>
        <w:t>设备和管道表面上的灰尘、油垢、铁锈等杂物已消除干净，如设计需要油漆防腐，须在防腐完全干燥后方可施工。</w:t>
      </w:r>
    </w:p>
    <w:p w14:paraId="20B65A69">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第十九条 </w:t>
      </w:r>
      <w:r>
        <w:rPr>
          <w:rFonts w:hint="eastAsia" w:ascii="仿宋_GB2312" w:hAnsi="Times New Roman" w:eastAsia="仿宋_GB2312" w:cs="仿宋_GB2312"/>
          <w:kern w:val="0"/>
          <w:sz w:val="34"/>
          <w:szCs w:val="34"/>
          <w:lang w:val="en-US" w:eastAsia="zh-CN" w:bidi="ar"/>
        </w:rPr>
        <w:t>绝热施工宜在工业设备及管道压力强度试验、严密性试验及防腐工程完工合格后进行。</w:t>
      </w:r>
    </w:p>
    <w:p w14:paraId="369C601F">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第二十条 </w:t>
      </w:r>
      <w:r>
        <w:rPr>
          <w:rFonts w:hint="eastAsia" w:ascii="仿宋_GB2312" w:hAnsi="Times New Roman" w:eastAsia="仿宋_GB2312" w:cs="仿宋_GB2312"/>
          <w:kern w:val="0"/>
          <w:sz w:val="34"/>
          <w:szCs w:val="34"/>
          <w:lang w:val="en-US" w:eastAsia="zh-CN" w:bidi="ar"/>
        </w:rPr>
        <w:t>绝热材料及其制品的化学性能应稳定，对金属不得有腐蚀作用。</w:t>
      </w:r>
    </w:p>
    <w:p w14:paraId="0005EE95">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第二十一条 </w:t>
      </w:r>
      <w:r>
        <w:rPr>
          <w:rFonts w:hint="eastAsia" w:ascii="仿宋_GB2312" w:hAnsi="Times New Roman" w:eastAsia="仿宋_GB2312" w:cs="仿宋_GB2312"/>
          <w:kern w:val="0"/>
          <w:sz w:val="34"/>
          <w:szCs w:val="34"/>
          <w:lang w:val="en-US" w:eastAsia="zh-CN" w:bidi="ar"/>
        </w:rPr>
        <w:t>奥氏体不锈钢设备或管道绝热施工。</w:t>
      </w:r>
    </w:p>
    <w:p w14:paraId="5007EDBD">
      <w:pPr>
        <w:keepNext w:val="0"/>
        <w:keepLines w:val="0"/>
        <w:widowControl w:val="0"/>
        <w:suppressLineNumbers w:val="0"/>
        <w:spacing w:before="0" w:beforeAutospacing="0" w:after="0" w:afterAutospacing="0" w:line="600" w:lineRule="exact"/>
        <w:ind w:left="0" w:right="0" w:firstLine="680" w:firstLineChars="20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 xml:space="preserve">（一）绝热材料氯化物、氟化物、硅酸盐、钠离子的含量应符合现行国家标准《覆盖奥氏体不锈钢用绝热材料规范》（GB/T17393）的有关规定。 </w:t>
      </w:r>
    </w:p>
    <w:p w14:paraId="7A6DCD2D">
      <w:pPr>
        <w:keepNext w:val="0"/>
        <w:keepLines w:val="0"/>
        <w:widowControl w:val="0"/>
        <w:suppressLineNumbers w:val="0"/>
        <w:spacing w:before="0" w:beforeAutospacing="0" w:after="0" w:afterAutospacing="0" w:line="600" w:lineRule="exact"/>
        <w:ind w:left="0" w:right="0" w:firstLine="680" w:firstLineChars="20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（二）奥氏体不锈钢设备或管道绝热施工前宜根据设计或图纸要求对其采用油漆或铝箔进行隔离防腐。</w:t>
      </w:r>
    </w:p>
    <w:p w14:paraId="0AB30639">
      <w:pPr>
        <w:keepNext w:val="0"/>
        <w:keepLines w:val="0"/>
        <w:widowControl w:val="0"/>
        <w:suppressLineNumbers w:val="0"/>
        <w:spacing w:before="0" w:beforeAutospacing="0" w:after="0" w:afterAutospacing="0" w:line="600" w:lineRule="exact"/>
        <w:ind w:left="0" w:right="0" w:firstLine="680" w:firstLineChars="200"/>
        <w:jc w:val="both"/>
        <w:rPr>
          <w:rFonts w:hint="default" w:ascii="Times New Roman" w:hAnsi="Times New Roman" w:cs="Times New Roman"/>
          <w:kern w:val="0"/>
          <w:sz w:val="21"/>
          <w:szCs w:val="21"/>
        </w:rPr>
      </w:pPr>
      <w:r>
        <w:rPr>
          <w:rFonts w:hint="eastAsia" w:ascii="仿宋_GB2312" w:hAnsi="Times New Roman" w:eastAsia="仿宋_GB2312" w:cs="仿宋_GB2312"/>
          <w:kern w:val="0"/>
          <w:sz w:val="34"/>
          <w:szCs w:val="34"/>
          <w:lang w:val="en-US" w:eastAsia="zh-CN" w:bidi="ar"/>
        </w:rPr>
        <w:t>（三）直接焊于不锈钢设备、管道上的固定件，必须采用不锈钢制作。</w:t>
      </w:r>
    </w:p>
    <w:p w14:paraId="03025BCB">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第二十二条</w:t>
      </w:r>
      <w:r>
        <w:rPr>
          <w:rFonts w:hint="eastAsia" w:ascii="仿宋_GB2312" w:hAnsi="Times New Roman" w:eastAsia="仿宋_GB2312" w:cs="仿宋_GB2312"/>
          <w:kern w:val="0"/>
          <w:sz w:val="34"/>
          <w:szCs w:val="34"/>
          <w:lang w:val="en-US" w:eastAsia="zh-CN" w:bidi="ar"/>
        </w:rPr>
        <w:t xml:space="preserve"> 具有下列情况之一的设备、管道及其附件，应作可拆卸式：易泄漏设备和管道的法兰连接处；各类阀门本体；经常维修或监测防止发生损坏的部位。</w:t>
      </w:r>
    </w:p>
    <w:p w14:paraId="161DF7AE">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第二十三条 </w:t>
      </w:r>
      <w:r>
        <w:rPr>
          <w:rFonts w:hint="eastAsia" w:ascii="仿宋_GB2312" w:hAnsi="Times New Roman" w:eastAsia="仿宋_GB2312" w:cs="仿宋_GB2312"/>
          <w:kern w:val="0"/>
          <w:sz w:val="34"/>
          <w:szCs w:val="34"/>
          <w:lang w:val="en-US" w:eastAsia="zh-CN" w:bidi="ar"/>
        </w:rPr>
        <w:t>保冷设备及管道上的裙座、支吊架、仪表管座等附件应进行保冷，其保冷层长度不得小于保冷层厚度的4倍或至垫块处，保冷层厚度宜为相连管道或设备的保冷层厚度的1/2。</w:t>
      </w:r>
    </w:p>
    <w:p w14:paraId="5C4F4A7F">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第二十四条 </w:t>
      </w:r>
      <w:r>
        <w:rPr>
          <w:rFonts w:hint="eastAsia" w:ascii="仿宋_GB2312" w:hAnsi="Times New Roman" w:eastAsia="仿宋_GB2312" w:cs="仿宋_GB2312"/>
          <w:kern w:val="0"/>
          <w:sz w:val="34"/>
          <w:szCs w:val="34"/>
          <w:lang w:val="en-US" w:eastAsia="zh-CN" w:bidi="ar"/>
        </w:rPr>
        <w:t>设备与管道的保冷层外表面应设置防潮层；地沟内敷设管道的保温层外表面宜设置防潮层；在环境变化与振动情况下,防潮层应能保持其结构的完整性和密封性；防潮层外如需使用捆扎件时,不得损坏防潮层。</w:t>
      </w:r>
    </w:p>
    <w:p w14:paraId="61F4D67D">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第二十五条 </w:t>
      </w:r>
      <w:r>
        <w:rPr>
          <w:rFonts w:hint="eastAsia" w:ascii="仿宋_GB2312" w:hAnsi="Times New Roman" w:eastAsia="仿宋_GB2312" w:cs="仿宋_GB2312"/>
          <w:kern w:val="0"/>
          <w:sz w:val="34"/>
          <w:szCs w:val="34"/>
          <w:lang w:val="en-US" w:eastAsia="zh-CN" w:bidi="ar"/>
        </w:rPr>
        <w:t>对于保温储罐设备，塔类设备或高于20米以上管道等有抗风要求的设施，保护层考虑加装紧固带、紧固件必须采用铆钉，且间距不大于100毫米。</w:t>
      </w:r>
    </w:p>
    <w:p w14:paraId="2450E9E4">
      <w:pPr>
        <w:keepNext w:val="0"/>
        <w:keepLines w:val="0"/>
        <w:widowControl w:val="0"/>
        <w:suppressLineNumbers w:val="0"/>
        <w:spacing w:before="0" w:beforeAutospacing="0" w:after="0" w:afterAutospacing="0" w:line="600" w:lineRule="exact"/>
        <w:ind w:left="0" w:right="0" w:firstLine="680"/>
        <w:jc w:val="both"/>
        <w:rPr>
          <w:rFonts w:hint="default" w:ascii="Times New Roman" w:hAnsi="Times New Roman" w:cs="Times New Roman"/>
          <w:kern w:val="0"/>
          <w:sz w:val="21"/>
          <w:szCs w:val="21"/>
        </w:rPr>
      </w:pPr>
      <w:r>
        <w:rPr>
          <w:rFonts w:hint="eastAsia" w:ascii="仿宋_GB2312" w:hAnsi="Times New Roman" w:eastAsia="仿宋_GB2312" w:cs="仿宋_GB2312"/>
          <w:b/>
          <w:bCs/>
          <w:kern w:val="0"/>
          <w:sz w:val="34"/>
          <w:szCs w:val="34"/>
          <w:lang w:val="en-US" w:eastAsia="zh-CN" w:bidi="ar"/>
        </w:rPr>
        <w:t>第二十六条</w:t>
      </w:r>
      <w:r>
        <w:rPr>
          <w:rFonts w:hint="eastAsia" w:ascii="仿宋_GB2312" w:hAnsi="Times New Roman" w:eastAsia="仿宋_GB2312" w:cs="仿宋_GB2312"/>
          <w:kern w:val="0"/>
          <w:sz w:val="34"/>
          <w:szCs w:val="34"/>
          <w:lang w:val="en-US" w:eastAsia="zh-CN" w:bidi="ar"/>
        </w:rPr>
        <w:t xml:space="preserve"> 设备及管道焊缝部位应在保护层表面作出易于识别标记。</w:t>
      </w:r>
    </w:p>
    <w:p w14:paraId="3A6493FD">
      <w:pPr>
        <w:keepNext w:val="0"/>
        <w:keepLines w:val="0"/>
        <w:widowControl w:val="0"/>
        <w:suppressLineNumbers w:val="0"/>
        <w:spacing w:before="0" w:beforeAutospacing="0" w:after="0" w:afterAutospacing="0" w:line="600" w:lineRule="exact"/>
        <w:ind w:left="0" w:right="0" w:firstLine="683" w:firstLineChars="200"/>
        <w:jc w:val="left"/>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第二十七条</w:t>
      </w:r>
      <w:r>
        <w:rPr>
          <w:rFonts w:hint="eastAsia" w:ascii="仿宋_GB2312" w:hAnsi="Times New Roman" w:eastAsia="仿宋_GB2312" w:cs="仿宋_GB2312"/>
          <w:kern w:val="0"/>
          <w:sz w:val="34"/>
          <w:szCs w:val="34"/>
          <w:lang w:val="en-US" w:eastAsia="zh-CN" w:bidi="ar"/>
        </w:rPr>
        <w:t xml:space="preserve"> 除新安装项目、不可拆卸保冷材料不得利旧外，其余可利用材料包括可拆卸保护层和绝热材料，符合下列条件的，经属地部门同意方可利旧。利旧保护层必须规整美观、无腐蚀，厚度符合技术要求；利旧绝热层材料未受污染，拆卸前后形状基本保持一致。</w:t>
      </w:r>
    </w:p>
    <w:p w14:paraId="48A558B3">
      <w:pPr>
        <w:keepNext w:val="0"/>
        <w:keepLines w:val="0"/>
        <w:widowControl w:val="0"/>
        <w:suppressLineNumbers w:val="0"/>
        <w:spacing w:before="0" w:beforeAutospacing="0" w:after="0" w:afterAutospacing="0" w:line="600" w:lineRule="exact"/>
        <w:ind w:left="0" w:right="0" w:firstLine="682"/>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第二十八条</w:t>
      </w:r>
      <w:r>
        <w:rPr>
          <w:rFonts w:hint="eastAsia" w:ascii="仿宋_GB2312" w:hAnsi="Times New Roman" w:eastAsia="仿宋_GB2312" w:cs="仿宋_GB2312"/>
          <w:kern w:val="0"/>
          <w:sz w:val="34"/>
          <w:szCs w:val="34"/>
          <w:lang w:val="en-US" w:eastAsia="zh-CN" w:bidi="ar"/>
        </w:rPr>
        <w:t xml:space="preserve"> 属地部门应依据《工业设备及管道绝热工程施工质量验收标准》（GBT 50185-2019）相关要求，对施工过程进行质量跟踪，对主要施工环节按照施工方案进行质量验收，同时做好保温材料的利旧工作，减少材料费用。</w:t>
      </w:r>
    </w:p>
    <w:p w14:paraId="4548CF19">
      <w:pPr>
        <w:keepNext w:val="0"/>
        <w:keepLines w:val="0"/>
        <w:widowControl w:val="0"/>
        <w:suppressLineNumbers w:val="0"/>
        <w:spacing w:before="0" w:beforeAutospacing="0" w:after="0" w:afterAutospacing="0" w:line="600" w:lineRule="exact"/>
        <w:ind w:left="0" w:right="0" w:firstLine="682"/>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第二十九条 </w:t>
      </w:r>
      <w:r>
        <w:rPr>
          <w:rFonts w:hint="eastAsia" w:ascii="仿宋_GB2312" w:hAnsi="Times New Roman" w:eastAsia="仿宋_GB2312" w:cs="仿宋_GB2312"/>
          <w:kern w:val="0"/>
          <w:sz w:val="34"/>
          <w:szCs w:val="34"/>
          <w:lang w:val="en-US" w:eastAsia="zh-CN" w:bidi="ar"/>
        </w:rPr>
        <w:t>绝热施工材料质量和数量须满足甲方施工申请单及工艺要求；施工质量须满足甲方生产工艺要求。</w:t>
      </w:r>
    </w:p>
    <w:p w14:paraId="617B2BBA">
      <w:pPr>
        <w:keepNext w:val="0"/>
        <w:keepLines w:val="0"/>
        <w:widowControl w:val="0"/>
        <w:suppressLineNumbers w:val="0"/>
        <w:spacing w:before="0" w:beforeAutospacing="0" w:after="0" w:afterAutospacing="0" w:line="600" w:lineRule="exact"/>
        <w:ind w:left="0" w:right="0" w:firstLine="682"/>
        <w:jc w:val="both"/>
        <w:rPr>
          <w:rFonts w:hint="eastAsia" w:ascii="仿宋_GB2312" w:hAnsi="Times New Roman" w:eastAsia="仿宋_GB2312" w:cs="仿宋_GB2312"/>
          <w:kern w:val="0"/>
          <w:sz w:val="34"/>
          <w:szCs w:val="34"/>
          <w:lang w:val="en-US" w:eastAsia="zh-CN" w:bidi="ar"/>
        </w:rPr>
      </w:pPr>
      <w:r>
        <w:rPr>
          <w:rFonts w:hint="eastAsia" w:ascii="仿宋_GB2312" w:hAnsi="Times New Roman" w:eastAsia="仿宋_GB2312" w:cs="仿宋_GB2312"/>
          <w:kern w:val="0"/>
          <w:sz w:val="34"/>
          <w:szCs w:val="34"/>
          <w:lang w:val="en-US" w:eastAsia="zh-CN" w:bidi="ar"/>
        </w:rPr>
        <w:t>（一）绝热材质及厚度、数量符合施工申请单要求。</w:t>
      </w:r>
    </w:p>
    <w:p w14:paraId="7B145AE0">
      <w:pPr>
        <w:keepNext w:val="0"/>
        <w:keepLines w:val="0"/>
        <w:widowControl w:val="0"/>
        <w:suppressLineNumbers w:val="0"/>
        <w:spacing w:before="0" w:beforeAutospacing="0" w:after="0" w:afterAutospacing="0" w:line="600" w:lineRule="exact"/>
        <w:ind w:left="0" w:right="0" w:firstLine="682"/>
        <w:jc w:val="both"/>
        <w:rPr>
          <w:rFonts w:hint="eastAsia" w:ascii="仿宋_GB2312" w:hAnsi="Times New Roman" w:eastAsia="仿宋_GB2312" w:cs="仿宋_GB2312"/>
          <w:kern w:val="0"/>
          <w:sz w:val="34"/>
          <w:szCs w:val="34"/>
          <w:lang w:val="en-US" w:eastAsia="zh-CN" w:bidi="ar"/>
        </w:rPr>
      </w:pPr>
      <w:r>
        <w:rPr>
          <w:rFonts w:hint="eastAsia" w:ascii="仿宋_GB2312" w:hAnsi="Times New Roman" w:eastAsia="仿宋_GB2312" w:cs="仿宋_GB2312"/>
          <w:kern w:val="0"/>
          <w:sz w:val="34"/>
          <w:szCs w:val="34"/>
          <w:lang w:val="en-US" w:eastAsia="zh-CN" w:bidi="ar"/>
        </w:rPr>
        <w:t xml:space="preserve">     1.除铝皮保护层厚度允许偏差小于0.05毫米外，其余按相关规范要求执行。</w:t>
      </w:r>
    </w:p>
    <w:p w14:paraId="683DF986">
      <w:pPr>
        <w:pStyle w:val="3"/>
        <w:widowControl/>
        <w:spacing w:before="0" w:beforeAutospacing="1" w:after="0" w:afterAutospacing="0" w:line="600" w:lineRule="exact"/>
        <w:ind w:left="0" w:right="0"/>
        <w:rPr>
          <w:rFonts w:hint="default" w:ascii="Times New Roman" w:hAnsi="Times New Roman" w:cs="Times New Roman"/>
          <w:kern w:val="0"/>
          <w:sz w:val="21"/>
          <w:szCs w:val="21"/>
        </w:rPr>
      </w:pPr>
      <w:r>
        <w:rPr>
          <w:rFonts w:hint="eastAsia" w:ascii="仿宋_GB2312" w:eastAsia="仿宋_GB2312" w:cs="仿宋_GB2312"/>
          <w:kern w:val="0"/>
          <w:sz w:val="34"/>
          <w:szCs w:val="34"/>
        </w:rPr>
        <w:t xml:space="preserve">     2.绝热材料安装厚度      </w:t>
      </w:r>
    </w:p>
    <w:tbl>
      <w:tblPr>
        <w:tblStyle w:val="5"/>
        <w:tblW w:w="84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90"/>
        <w:gridCol w:w="1176"/>
        <w:gridCol w:w="859"/>
        <w:gridCol w:w="1556"/>
        <w:gridCol w:w="2265"/>
        <w:gridCol w:w="1644"/>
      </w:tblGrid>
      <w:tr w14:paraId="30211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4" w:hRule="atLeast"/>
        </w:trPr>
        <w:tc>
          <w:tcPr>
            <w:tcW w:w="458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DFD991F">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项      目</w:t>
            </w:r>
          </w:p>
        </w:tc>
        <w:tc>
          <w:tcPr>
            <w:tcW w:w="2265" w:type="dxa"/>
            <w:tcBorders>
              <w:top w:val="single" w:color="000000" w:sz="4" w:space="0"/>
              <w:left w:val="nil"/>
              <w:bottom w:val="single" w:color="000000" w:sz="4" w:space="0"/>
              <w:right w:val="single" w:color="000000" w:sz="4" w:space="0"/>
            </w:tcBorders>
            <w:shd w:val="clear" w:color="auto" w:fill="auto"/>
            <w:vAlign w:val="center"/>
          </w:tcPr>
          <w:p w14:paraId="47B1B4F5">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允许偏差(δ)</w:t>
            </w:r>
          </w:p>
        </w:tc>
        <w:tc>
          <w:tcPr>
            <w:tcW w:w="1644" w:type="dxa"/>
            <w:tcBorders>
              <w:top w:val="single" w:color="000000" w:sz="4" w:space="0"/>
              <w:left w:val="nil"/>
              <w:bottom w:val="single" w:color="000000" w:sz="4" w:space="0"/>
              <w:right w:val="single" w:color="000000" w:sz="4" w:space="0"/>
            </w:tcBorders>
            <w:shd w:val="clear" w:color="auto" w:fill="auto"/>
            <w:vAlign w:val="center"/>
          </w:tcPr>
          <w:p w14:paraId="3B83171E">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检测方法</w:t>
            </w:r>
          </w:p>
        </w:tc>
      </w:tr>
      <w:tr w14:paraId="02CFB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17" w:hRule="atLeast"/>
        </w:trPr>
        <w:tc>
          <w:tcPr>
            <w:tcW w:w="990" w:type="dxa"/>
            <w:vMerge w:val="restart"/>
            <w:tcBorders>
              <w:top w:val="nil"/>
              <w:left w:val="single" w:color="000000" w:sz="4" w:space="0"/>
              <w:bottom w:val="single" w:color="000000" w:sz="4" w:space="0"/>
              <w:right w:val="single" w:color="000000" w:sz="4" w:space="0"/>
            </w:tcBorders>
            <w:shd w:val="clear" w:color="auto" w:fill="auto"/>
            <w:vAlign w:val="center"/>
          </w:tcPr>
          <w:p w14:paraId="3BF5B7F3">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厚度(H)</w:t>
            </w:r>
          </w:p>
        </w:tc>
        <w:tc>
          <w:tcPr>
            <w:tcW w:w="1176" w:type="dxa"/>
            <w:vMerge w:val="restart"/>
            <w:tcBorders>
              <w:top w:val="nil"/>
              <w:left w:val="nil"/>
              <w:bottom w:val="single" w:color="000000" w:sz="4" w:space="0"/>
              <w:right w:val="single" w:color="000000" w:sz="4" w:space="0"/>
            </w:tcBorders>
            <w:shd w:val="clear" w:color="auto" w:fill="auto"/>
            <w:vAlign w:val="center"/>
          </w:tcPr>
          <w:p w14:paraId="480873CD">
            <w:pPr>
              <w:keepNext w:val="0"/>
              <w:keepLines w:val="0"/>
              <w:widowControl/>
              <w:suppressLineNumbers w:val="0"/>
              <w:spacing w:before="0" w:beforeAutospacing="0" w:after="0" w:afterAutospacing="0" w:line="600" w:lineRule="exact"/>
              <w:ind w:left="0" w:right="0"/>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嵌装层铺法捆扎法、拼砌法及粘贴法</w:t>
            </w:r>
          </w:p>
        </w:tc>
        <w:tc>
          <w:tcPr>
            <w:tcW w:w="859" w:type="dxa"/>
            <w:vMerge w:val="restart"/>
            <w:tcBorders>
              <w:top w:val="nil"/>
              <w:left w:val="nil"/>
              <w:bottom w:val="single" w:color="000000" w:sz="4" w:space="0"/>
              <w:right w:val="single" w:color="000000" w:sz="4" w:space="0"/>
            </w:tcBorders>
            <w:shd w:val="clear" w:color="auto" w:fill="auto"/>
            <w:vAlign w:val="center"/>
          </w:tcPr>
          <w:p w14:paraId="7479C377">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保温层</w:t>
            </w:r>
          </w:p>
        </w:tc>
        <w:tc>
          <w:tcPr>
            <w:tcW w:w="1556" w:type="dxa"/>
            <w:tcBorders>
              <w:top w:val="single" w:color="000000" w:sz="4" w:space="0"/>
              <w:left w:val="nil"/>
              <w:bottom w:val="single" w:color="000000" w:sz="4" w:space="0"/>
              <w:right w:val="single" w:color="000000" w:sz="4" w:space="0"/>
            </w:tcBorders>
            <w:shd w:val="clear" w:color="auto" w:fill="auto"/>
            <w:vAlign w:val="center"/>
          </w:tcPr>
          <w:p w14:paraId="19549BD1">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硬质制品</w:t>
            </w:r>
          </w:p>
        </w:tc>
        <w:tc>
          <w:tcPr>
            <w:tcW w:w="2265" w:type="dxa"/>
            <w:tcBorders>
              <w:top w:val="single" w:color="000000" w:sz="4" w:space="0"/>
              <w:left w:val="nil"/>
              <w:bottom w:val="single" w:color="000000" w:sz="4" w:space="0"/>
              <w:right w:val="single" w:color="000000" w:sz="4" w:space="0"/>
            </w:tcBorders>
            <w:shd w:val="clear" w:color="auto" w:fill="auto"/>
            <w:vAlign w:val="center"/>
          </w:tcPr>
          <w:p w14:paraId="392CFF2D">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－5&lt;δ&lt;10毫米</w:t>
            </w:r>
          </w:p>
        </w:tc>
        <w:tc>
          <w:tcPr>
            <w:tcW w:w="1644" w:type="dxa"/>
            <w:tcBorders>
              <w:top w:val="single" w:color="000000" w:sz="4" w:space="0"/>
              <w:left w:val="nil"/>
              <w:bottom w:val="single" w:color="000000" w:sz="4" w:space="0"/>
              <w:right w:val="single" w:color="000000" w:sz="4" w:space="0"/>
            </w:tcBorders>
            <w:shd w:val="clear" w:color="auto" w:fill="auto"/>
            <w:vAlign w:val="center"/>
          </w:tcPr>
          <w:p w14:paraId="6D938C18">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尺量检查</w:t>
            </w:r>
          </w:p>
        </w:tc>
      </w:tr>
      <w:tr w14:paraId="0B122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9" w:hRule="atLeast"/>
        </w:trPr>
        <w:tc>
          <w:tcPr>
            <w:tcW w:w="990" w:type="dxa"/>
            <w:vMerge w:val="continue"/>
            <w:tcBorders>
              <w:top w:val="nil"/>
              <w:left w:val="single" w:color="000000" w:sz="4" w:space="0"/>
              <w:bottom w:val="single" w:color="000000" w:sz="4" w:space="0"/>
              <w:right w:val="single" w:color="000000" w:sz="4" w:space="0"/>
            </w:tcBorders>
            <w:shd w:val="clear" w:color="auto" w:fill="auto"/>
            <w:vAlign w:val="center"/>
          </w:tcPr>
          <w:p w14:paraId="5D6C0C1A">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76" w:type="dxa"/>
            <w:vMerge w:val="continue"/>
            <w:tcBorders>
              <w:top w:val="nil"/>
              <w:left w:val="nil"/>
              <w:bottom w:val="single" w:color="000000" w:sz="4" w:space="0"/>
              <w:right w:val="single" w:color="000000" w:sz="4" w:space="0"/>
            </w:tcBorders>
            <w:shd w:val="clear" w:color="auto" w:fill="auto"/>
            <w:vAlign w:val="center"/>
          </w:tcPr>
          <w:p w14:paraId="3F11CB38">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859" w:type="dxa"/>
            <w:vMerge w:val="continue"/>
            <w:tcBorders>
              <w:top w:val="nil"/>
              <w:left w:val="nil"/>
              <w:bottom w:val="single" w:color="000000" w:sz="4" w:space="0"/>
              <w:right w:val="single" w:color="000000" w:sz="4" w:space="0"/>
            </w:tcBorders>
            <w:shd w:val="clear" w:color="auto" w:fill="auto"/>
            <w:vAlign w:val="center"/>
          </w:tcPr>
          <w:p w14:paraId="0A186672">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556" w:type="dxa"/>
            <w:tcBorders>
              <w:top w:val="single" w:color="000000" w:sz="4" w:space="0"/>
              <w:left w:val="nil"/>
              <w:bottom w:val="single" w:color="000000" w:sz="4" w:space="0"/>
              <w:right w:val="single" w:color="000000" w:sz="4" w:space="0"/>
            </w:tcBorders>
            <w:shd w:val="clear" w:color="auto" w:fill="auto"/>
            <w:vAlign w:val="center"/>
          </w:tcPr>
          <w:p w14:paraId="19DAF0A8">
            <w:pPr>
              <w:keepNext w:val="0"/>
              <w:keepLines w:val="0"/>
              <w:widowControl/>
              <w:suppressLineNumbers w:val="0"/>
              <w:spacing w:before="0" w:beforeAutospacing="0" w:after="0" w:afterAutospacing="0" w:line="600" w:lineRule="exact"/>
              <w:ind w:left="0" w:right="0"/>
              <w:jc w:val="both"/>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半硬质及软质制品</w:t>
            </w:r>
          </w:p>
        </w:tc>
        <w:tc>
          <w:tcPr>
            <w:tcW w:w="2265" w:type="dxa"/>
            <w:tcBorders>
              <w:top w:val="single" w:color="000000" w:sz="4" w:space="0"/>
              <w:left w:val="nil"/>
              <w:bottom w:val="single" w:color="000000" w:sz="4" w:space="0"/>
              <w:right w:val="single" w:color="000000" w:sz="4" w:space="0"/>
            </w:tcBorders>
            <w:shd w:val="clear" w:color="auto" w:fill="auto"/>
            <w:vAlign w:val="center"/>
          </w:tcPr>
          <w:p w14:paraId="57F6770D">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+10%,但不得&gt;+10毫米；-5%,但不得&lt;-8毫米</w:t>
            </w:r>
          </w:p>
        </w:tc>
        <w:tc>
          <w:tcPr>
            <w:tcW w:w="1644" w:type="dxa"/>
            <w:tcBorders>
              <w:top w:val="single" w:color="000000" w:sz="4" w:space="0"/>
              <w:left w:val="nil"/>
              <w:bottom w:val="single" w:color="000000" w:sz="4" w:space="0"/>
              <w:right w:val="single" w:color="000000" w:sz="4" w:space="0"/>
            </w:tcBorders>
            <w:shd w:val="clear" w:color="auto" w:fill="auto"/>
            <w:vAlign w:val="center"/>
          </w:tcPr>
          <w:p w14:paraId="1BDD1A8C">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针刺、尺量检查</w:t>
            </w:r>
          </w:p>
        </w:tc>
      </w:tr>
      <w:tr w14:paraId="73EFF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1" w:hRule="atLeast"/>
        </w:trPr>
        <w:tc>
          <w:tcPr>
            <w:tcW w:w="990" w:type="dxa"/>
            <w:vMerge w:val="continue"/>
            <w:tcBorders>
              <w:top w:val="nil"/>
              <w:left w:val="single" w:color="000000" w:sz="4" w:space="0"/>
              <w:bottom w:val="single" w:color="000000" w:sz="4" w:space="0"/>
              <w:right w:val="single" w:color="000000" w:sz="4" w:space="0"/>
            </w:tcBorders>
            <w:shd w:val="clear" w:color="auto" w:fill="auto"/>
            <w:vAlign w:val="center"/>
          </w:tcPr>
          <w:p w14:paraId="533D7E0B">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76" w:type="dxa"/>
            <w:vMerge w:val="continue"/>
            <w:tcBorders>
              <w:top w:val="nil"/>
              <w:left w:val="nil"/>
              <w:bottom w:val="single" w:color="000000" w:sz="4" w:space="0"/>
              <w:right w:val="single" w:color="000000" w:sz="4" w:space="0"/>
            </w:tcBorders>
            <w:shd w:val="clear" w:color="auto" w:fill="auto"/>
            <w:vAlign w:val="center"/>
          </w:tcPr>
          <w:p w14:paraId="1D58C12C">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415" w:type="dxa"/>
            <w:gridSpan w:val="2"/>
            <w:tcBorders>
              <w:top w:val="single" w:color="000000" w:sz="4" w:space="0"/>
              <w:left w:val="nil"/>
              <w:bottom w:val="single" w:color="000000" w:sz="4" w:space="0"/>
              <w:right w:val="single" w:color="000000" w:sz="4" w:space="0"/>
            </w:tcBorders>
            <w:shd w:val="clear" w:color="auto" w:fill="auto"/>
            <w:vAlign w:val="center"/>
          </w:tcPr>
          <w:p w14:paraId="6C8E84F8">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保冷层</w:t>
            </w:r>
          </w:p>
        </w:tc>
        <w:tc>
          <w:tcPr>
            <w:tcW w:w="2265" w:type="dxa"/>
            <w:tcBorders>
              <w:top w:val="single" w:color="000000" w:sz="4" w:space="0"/>
              <w:left w:val="nil"/>
              <w:bottom w:val="single" w:color="000000" w:sz="4" w:space="0"/>
              <w:right w:val="single" w:color="000000" w:sz="4" w:space="0"/>
            </w:tcBorders>
            <w:shd w:val="clear" w:color="auto" w:fill="auto"/>
            <w:vAlign w:val="center"/>
          </w:tcPr>
          <w:p w14:paraId="741C9B9F">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0&lt;δ&lt;5毫米</w:t>
            </w:r>
          </w:p>
        </w:tc>
        <w:tc>
          <w:tcPr>
            <w:tcW w:w="1644" w:type="dxa"/>
            <w:tcBorders>
              <w:top w:val="single" w:color="000000" w:sz="4" w:space="0"/>
              <w:left w:val="nil"/>
              <w:bottom w:val="single" w:color="000000" w:sz="4" w:space="0"/>
              <w:right w:val="single" w:color="000000" w:sz="4" w:space="0"/>
            </w:tcBorders>
            <w:shd w:val="clear" w:color="auto" w:fill="auto"/>
            <w:vAlign w:val="center"/>
          </w:tcPr>
          <w:p w14:paraId="5AAF17FC">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针刺、尺量检查</w:t>
            </w:r>
          </w:p>
        </w:tc>
      </w:tr>
      <w:tr w14:paraId="2677B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0" w:hRule="atLeast"/>
        </w:trPr>
        <w:tc>
          <w:tcPr>
            <w:tcW w:w="990" w:type="dxa"/>
            <w:vMerge w:val="continue"/>
            <w:tcBorders>
              <w:top w:val="nil"/>
              <w:left w:val="single" w:color="000000" w:sz="4" w:space="0"/>
              <w:bottom w:val="single" w:color="000000" w:sz="4" w:space="0"/>
              <w:right w:val="single" w:color="000000" w:sz="4" w:space="0"/>
            </w:tcBorders>
            <w:shd w:val="clear" w:color="auto" w:fill="auto"/>
            <w:vAlign w:val="center"/>
          </w:tcPr>
          <w:p w14:paraId="1EE987DA">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76" w:type="dxa"/>
            <w:vMerge w:val="restart"/>
            <w:tcBorders>
              <w:top w:val="nil"/>
              <w:left w:val="nil"/>
              <w:bottom w:val="single" w:color="000000" w:sz="4" w:space="0"/>
              <w:right w:val="single" w:color="000000" w:sz="4" w:space="0"/>
            </w:tcBorders>
            <w:shd w:val="clear" w:color="auto" w:fill="auto"/>
            <w:vAlign w:val="center"/>
          </w:tcPr>
          <w:p w14:paraId="74B2C903">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填充法、浇注法及</w:t>
            </w:r>
            <w:r>
              <w:rPr>
                <w:rFonts w:hint="eastAsia" w:ascii="宋体" w:hAnsi="宋体" w:eastAsia="宋体" w:cs="宋体"/>
                <w:color w:val="000000"/>
                <w:kern w:val="0"/>
                <w:sz w:val="24"/>
                <w:szCs w:val="24"/>
                <w:lang w:val="en-US" w:eastAsia="zh-CN" w:bidi="ar"/>
              </w:rPr>
              <w:br w:type="textWrapping"/>
            </w:r>
            <w:r>
              <w:rPr>
                <w:rFonts w:hint="eastAsia" w:ascii="宋体" w:hAnsi="宋体" w:eastAsia="宋体" w:cs="宋体"/>
                <w:color w:val="000000"/>
                <w:kern w:val="0"/>
                <w:sz w:val="24"/>
                <w:szCs w:val="24"/>
                <w:lang w:val="en-US" w:eastAsia="zh-CN" w:bidi="ar"/>
              </w:rPr>
              <w:t>喷涂法</w:t>
            </w:r>
          </w:p>
        </w:tc>
        <w:tc>
          <w:tcPr>
            <w:tcW w:w="2415" w:type="dxa"/>
            <w:gridSpan w:val="2"/>
            <w:tcBorders>
              <w:top w:val="single" w:color="000000" w:sz="4" w:space="0"/>
              <w:left w:val="nil"/>
              <w:bottom w:val="single" w:color="000000" w:sz="4" w:space="0"/>
              <w:right w:val="single" w:color="000000" w:sz="4" w:space="0"/>
            </w:tcBorders>
            <w:shd w:val="clear" w:color="auto" w:fill="auto"/>
            <w:vAlign w:val="center"/>
          </w:tcPr>
          <w:p w14:paraId="00225140">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绝热层厚度（H）&gt;50毫米</w:t>
            </w:r>
          </w:p>
        </w:tc>
        <w:tc>
          <w:tcPr>
            <w:tcW w:w="2265" w:type="dxa"/>
            <w:tcBorders>
              <w:top w:val="single" w:color="000000" w:sz="4" w:space="0"/>
              <w:left w:val="nil"/>
              <w:bottom w:val="single" w:color="000000" w:sz="4" w:space="0"/>
              <w:right w:val="single" w:color="000000" w:sz="4" w:space="0"/>
            </w:tcBorders>
            <w:shd w:val="clear" w:color="auto" w:fill="auto"/>
            <w:vAlign w:val="center"/>
          </w:tcPr>
          <w:p w14:paraId="3C8B271F">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0&lt;δ&lt;10% H</w:t>
            </w:r>
          </w:p>
        </w:tc>
        <w:tc>
          <w:tcPr>
            <w:tcW w:w="1644" w:type="dxa"/>
            <w:vMerge w:val="restart"/>
            <w:tcBorders>
              <w:top w:val="nil"/>
              <w:left w:val="nil"/>
              <w:bottom w:val="single" w:color="000000" w:sz="4" w:space="0"/>
              <w:right w:val="single" w:color="000000" w:sz="4" w:space="0"/>
            </w:tcBorders>
            <w:shd w:val="clear" w:color="auto" w:fill="auto"/>
            <w:vAlign w:val="center"/>
          </w:tcPr>
          <w:p w14:paraId="01A800AF">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充法用尺 测量固形层与工件间距检查;浇注及喷涂法用针刺、尺量检查</w:t>
            </w:r>
          </w:p>
        </w:tc>
      </w:tr>
      <w:tr w14:paraId="2458C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8" w:hRule="atLeast"/>
        </w:trPr>
        <w:tc>
          <w:tcPr>
            <w:tcW w:w="990" w:type="dxa"/>
            <w:vMerge w:val="continue"/>
            <w:tcBorders>
              <w:top w:val="nil"/>
              <w:left w:val="single" w:color="000000" w:sz="4" w:space="0"/>
              <w:bottom w:val="single" w:color="000000" w:sz="4" w:space="0"/>
              <w:right w:val="single" w:color="000000" w:sz="4" w:space="0"/>
            </w:tcBorders>
            <w:shd w:val="clear" w:color="auto" w:fill="auto"/>
            <w:vAlign w:val="center"/>
          </w:tcPr>
          <w:p w14:paraId="57FCB2DC">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76" w:type="dxa"/>
            <w:vMerge w:val="continue"/>
            <w:tcBorders>
              <w:top w:val="nil"/>
              <w:left w:val="nil"/>
              <w:bottom w:val="single" w:color="000000" w:sz="4" w:space="0"/>
              <w:right w:val="single" w:color="000000" w:sz="4" w:space="0"/>
            </w:tcBorders>
            <w:shd w:val="clear" w:color="auto" w:fill="auto"/>
            <w:vAlign w:val="center"/>
          </w:tcPr>
          <w:p w14:paraId="13DE0F2A">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415" w:type="dxa"/>
            <w:gridSpan w:val="2"/>
            <w:tcBorders>
              <w:top w:val="single" w:color="000000" w:sz="4" w:space="0"/>
              <w:left w:val="nil"/>
              <w:bottom w:val="single" w:color="000000" w:sz="4" w:space="0"/>
              <w:right w:val="single" w:color="000000" w:sz="4" w:space="0"/>
            </w:tcBorders>
            <w:shd w:val="clear" w:color="auto" w:fill="auto"/>
            <w:vAlign w:val="center"/>
          </w:tcPr>
          <w:p w14:paraId="49F523FA">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绝热层厚度≤50毫米</w:t>
            </w:r>
          </w:p>
        </w:tc>
        <w:tc>
          <w:tcPr>
            <w:tcW w:w="2265" w:type="dxa"/>
            <w:tcBorders>
              <w:top w:val="single" w:color="000000" w:sz="4" w:space="0"/>
              <w:left w:val="nil"/>
              <w:bottom w:val="single" w:color="000000" w:sz="4" w:space="0"/>
              <w:right w:val="single" w:color="000000" w:sz="4" w:space="0"/>
            </w:tcBorders>
            <w:shd w:val="clear" w:color="auto" w:fill="auto"/>
            <w:vAlign w:val="center"/>
          </w:tcPr>
          <w:p w14:paraId="21307B2D">
            <w:pPr>
              <w:keepNext w:val="0"/>
              <w:keepLines w:val="0"/>
              <w:widowControl/>
              <w:suppressLineNumbers w:val="0"/>
              <w:spacing w:before="0" w:beforeAutospacing="0" w:after="0" w:afterAutospacing="0" w:line="600" w:lineRule="exact"/>
              <w:ind w:left="0" w:right="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0&lt;δ&lt;5毫米</w:t>
            </w:r>
          </w:p>
        </w:tc>
        <w:tc>
          <w:tcPr>
            <w:tcW w:w="1644" w:type="dxa"/>
            <w:vMerge w:val="continue"/>
            <w:tcBorders>
              <w:top w:val="nil"/>
              <w:left w:val="nil"/>
              <w:bottom w:val="single" w:color="000000" w:sz="4" w:space="0"/>
              <w:right w:val="single" w:color="000000" w:sz="4" w:space="0"/>
            </w:tcBorders>
            <w:shd w:val="clear" w:color="auto" w:fill="auto"/>
            <w:vAlign w:val="center"/>
          </w:tcPr>
          <w:p w14:paraId="30E682DD">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bl>
    <w:p w14:paraId="192430C5">
      <w:pPr>
        <w:keepNext w:val="0"/>
        <w:keepLines w:val="0"/>
        <w:widowControl w:val="0"/>
        <w:suppressLineNumbers w:val="0"/>
        <w:spacing w:before="0" w:beforeAutospacing="0" w:after="0" w:afterAutospacing="0" w:line="600" w:lineRule="exact"/>
        <w:ind w:left="0" w:right="0"/>
        <w:jc w:val="both"/>
        <w:rPr>
          <w:rFonts w:hint="eastAsia" w:ascii="黑体" w:hAnsi="宋体" w:eastAsia="黑体" w:cs="黑体"/>
          <w:kern w:val="0"/>
          <w:sz w:val="34"/>
          <w:szCs w:val="34"/>
        </w:rPr>
      </w:pPr>
      <w:r>
        <w:rPr>
          <w:rFonts w:hint="eastAsia" w:ascii="仿宋_GB2312" w:hAnsi="Times New Roman" w:eastAsia="仿宋_GB2312" w:cs="仿宋_GB2312"/>
          <w:kern w:val="0"/>
          <w:sz w:val="34"/>
          <w:szCs w:val="34"/>
          <w:lang w:val="en-US" w:eastAsia="zh-CN" w:bidi="ar"/>
        </w:rPr>
        <w:t xml:space="preserve">    （二）外表面温度满足工艺设计要求。  </w:t>
      </w:r>
    </w:p>
    <w:p w14:paraId="7C889C5F">
      <w:pPr>
        <w:pStyle w:val="3"/>
        <w:widowControl/>
        <w:spacing w:before="0" w:beforeAutospacing="1" w:after="0" w:afterAutospacing="0" w:line="600" w:lineRule="exact"/>
        <w:ind w:left="0" w:right="0"/>
        <w:jc w:val="center"/>
        <w:rPr>
          <w:rFonts w:hint="eastAsia" w:ascii="仿宋_GB2312" w:eastAsia="仿宋_GB2312" w:cs="仿宋_GB2312"/>
          <w:kern w:val="0"/>
          <w:sz w:val="34"/>
          <w:szCs w:val="34"/>
        </w:rPr>
      </w:pPr>
      <w:r>
        <w:rPr>
          <w:rFonts w:hint="eastAsia" w:ascii="黑体" w:hAnsi="宋体" w:eastAsia="黑体" w:cs="黑体"/>
          <w:kern w:val="0"/>
          <w:sz w:val="34"/>
          <w:szCs w:val="34"/>
        </w:rPr>
        <w:t>第四章  保护层管理</w:t>
      </w:r>
    </w:p>
    <w:p w14:paraId="59DFB3F7">
      <w:pPr>
        <w:pStyle w:val="3"/>
        <w:widowControl/>
        <w:spacing w:before="0" w:beforeAutospacing="1" w:after="0" w:afterAutospacing="0" w:line="600" w:lineRule="exact"/>
        <w:ind w:left="0" w:right="0" w:firstLine="683" w:firstLineChars="200"/>
        <w:rPr>
          <w:rFonts w:hint="eastAsia" w:ascii="仿宋_GB2312" w:eastAsia="仿宋_GB2312" w:cs="仿宋_GB2312"/>
          <w:kern w:val="0"/>
          <w:sz w:val="34"/>
          <w:szCs w:val="34"/>
        </w:rPr>
      </w:pPr>
      <w:r>
        <w:rPr>
          <w:rFonts w:hint="eastAsia" w:ascii="仿宋_GB2312" w:eastAsia="仿宋_GB2312" w:cs="仿宋_GB2312"/>
          <w:b/>
          <w:bCs/>
          <w:kern w:val="0"/>
          <w:sz w:val="34"/>
          <w:szCs w:val="34"/>
        </w:rPr>
        <w:t xml:space="preserve">第三十条 </w:t>
      </w:r>
      <w:r>
        <w:rPr>
          <w:rFonts w:hint="eastAsia" w:ascii="仿宋_GB2312" w:eastAsia="仿宋_GB2312" w:cs="仿宋_GB2312"/>
          <w:kern w:val="0"/>
          <w:sz w:val="34"/>
          <w:szCs w:val="34"/>
        </w:rPr>
        <w:t>凡处于巡检或检修通道上，在地面或平台上的绝热管线，应设置过桥，以便于人员通行。</w:t>
      </w:r>
    </w:p>
    <w:p w14:paraId="58C44CE3">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第三十一条 </w:t>
      </w:r>
      <w:r>
        <w:rPr>
          <w:rFonts w:hint="eastAsia" w:ascii="仿宋_GB2312" w:hAnsi="Times New Roman" w:eastAsia="仿宋_GB2312" w:cs="仿宋_GB2312"/>
          <w:kern w:val="0"/>
          <w:sz w:val="34"/>
          <w:szCs w:val="34"/>
          <w:lang w:val="en-US" w:eastAsia="zh-CN" w:bidi="ar"/>
        </w:rPr>
        <w:t>凡涉及检修、安装或搭设脚手架等施工项目，对周边绝热设备及管线有损害的，应采取措施尽量避免损坏绝热保护层。</w:t>
      </w:r>
    </w:p>
    <w:p w14:paraId="21D08C88">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第三十二条 </w:t>
      </w:r>
      <w:r>
        <w:rPr>
          <w:rFonts w:hint="eastAsia" w:ascii="仿宋_GB2312" w:hAnsi="Times New Roman" w:eastAsia="仿宋_GB2312" w:cs="仿宋_GB2312"/>
          <w:kern w:val="0"/>
          <w:sz w:val="34"/>
          <w:szCs w:val="34"/>
          <w:lang w:val="en-US" w:eastAsia="zh-CN" w:bidi="ar"/>
        </w:rPr>
        <w:t>凡涉及土建施工、防腐、清洗等施工项目，对周边绝热设备及管线有污染的，应设置防护网或防护围栏等设施，对保护层进行有效隔绝。</w:t>
      </w:r>
    </w:p>
    <w:p w14:paraId="5CCE5E7B">
      <w:pPr>
        <w:keepNext w:val="0"/>
        <w:keepLines w:val="0"/>
        <w:widowControl w:val="0"/>
        <w:suppressLineNumbers w:val="0"/>
        <w:spacing w:before="0" w:beforeAutospacing="0" w:after="0" w:afterAutospacing="0" w:line="600" w:lineRule="exact"/>
        <w:ind w:left="0" w:right="0" w:firstLine="682"/>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第三十三条 </w:t>
      </w:r>
      <w:r>
        <w:rPr>
          <w:rFonts w:hint="eastAsia" w:ascii="仿宋_GB2312" w:hAnsi="Times New Roman" w:eastAsia="仿宋_GB2312" w:cs="仿宋_GB2312"/>
          <w:kern w:val="0"/>
          <w:sz w:val="34"/>
          <w:szCs w:val="34"/>
          <w:lang w:val="en-US" w:eastAsia="zh-CN" w:bidi="ar"/>
        </w:rPr>
        <w:t>为防止保护层变形、损坏，搭接严密避免渗漏，禁止以下行为：</w:t>
      </w:r>
    </w:p>
    <w:p w14:paraId="3E71ED3B">
      <w:pPr>
        <w:keepNext w:val="0"/>
        <w:keepLines w:val="0"/>
        <w:widowControl w:val="0"/>
        <w:suppressLineNumbers w:val="0"/>
        <w:spacing w:before="0" w:beforeAutospacing="0" w:after="0" w:afterAutospacing="0" w:line="600" w:lineRule="exact"/>
        <w:ind w:left="0" w:right="0" w:firstLine="682"/>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（一）直接将梯子靠在绝热保护层上。</w:t>
      </w:r>
    </w:p>
    <w:p w14:paraId="5997CDA5">
      <w:pPr>
        <w:keepNext w:val="0"/>
        <w:keepLines w:val="0"/>
        <w:widowControl w:val="0"/>
        <w:suppressLineNumbers w:val="0"/>
        <w:spacing w:before="0" w:beforeAutospacing="0" w:after="0" w:afterAutospacing="0" w:line="600" w:lineRule="exact"/>
        <w:ind w:left="0" w:right="0" w:firstLine="682"/>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（二）将软梯直接悬挂在绝热设备或管线上。</w:t>
      </w:r>
    </w:p>
    <w:p w14:paraId="5315DA92">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（三）将检修材料堆放在绝热保护层上。</w:t>
      </w:r>
    </w:p>
    <w:p w14:paraId="4BF4719A">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（四）将电气、仪表等管线，沿绝热管线绑扎。</w:t>
      </w:r>
    </w:p>
    <w:p w14:paraId="0E159A9B">
      <w:pPr>
        <w:keepNext w:val="0"/>
        <w:keepLines w:val="0"/>
        <w:widowControl w:val="0"/>
        <w:suppressLineNumbers w:val="0"/>
        <w:spacing w:before="0" w:beforeAutospacing="0" w:after="0" w:afterAutospacing="0" w:line="600" w:lineRule="exact"/>
        <w:ind w:left="0" w:right="0" w:firstLine="680"/>
        <w:jc w:val="both"/>
        <w:rPr>
          <w:rFonts w:hint="eastAsia" w:ascii="仿宋_GB2312" w:eastAsia="仿宋_GB2312" w:cs="仿宋_GB2312"/>
          <w:kern w:val="0"/>
          <w:sz w:val="34"/>
          <w:szCs w:val="34"/>
        </w:rPr>
      </w:pPr>
      <w:r>
        <w:rPr>
          <w:rFonts w:hint="eastAsia" w:ascii="仿宋_GB2312" w:hAnsi="Times New Roman" w:eastAsia="仿宋_GB2312" w:cs="仿宋_GB2312"/>
          <w:kern w:val="0"/>
          <w:sz w:val="34"/>
          <w:szCs w:val="34"/>
          <w:lang w:val="en-US" w:eastAsia="zh-CN" w:bidi="ar"/>
        </w:rPr>
        <w:t>（五）直接在绝热管线保护层上设置包箍或简易支架。</w:t>
      </w:r>
    </w:p>
    <w:p w14:paraId="17E3295F">
      <w:pPr>
        <w:keepNext w:val="0"/>
        <w:keepLines w:val="0"/>
        <w:widowControl w:val="0"/>
        <w:suppressLineNumbers w:val="0"/>
        <w:spacing w:before="0" w:beforeAutospacing="0" w:after="0" w:afterAutospacing="0" w:line="600" w:lineRule="exact"/>
        <w:ind w:left="0" w:right="0"/>
        <w:jc w:val="center"/>
        <w:rPr>
          <w:rFonts w:hint="eastAsia" w:ascii="黑体" w:hAnsi="宋体" w:eastAsia="黑体" w:cs="黑体"/>
          <w:kern w:val="0"/>
          <w:sz w:val="34"/>
          <w:szCs w:val="34"/>
        </w:rPr>
      </w:pPr>
      <w:r>
        <w:rPr>
          <w:rFonts w:hint="eastAsia" w:ascii="黑体" w:hAnsi="宋体" w:eastAsia="黑体" w:cs="黑体"/>
          <w:kern w:val="0"/>
          <w:sz w:val="34"/>
          <w:szCs w:val="34"/>
          <w:lang w:val="en-US" w:eastAsia="zh-CN" w:bidi="ar"/>
        </w:rPr>
        <w:t>第五章  附则</w:t>
      </w:r>
    </w:p>
    <w:p w14:paraId="077FCB95">
      <w:pPr>
        <w:keepNext w:val="0"/>
        <w:keepLines w:val="0"/>
        <w:widowControl w:val="0"/>
        <w:suppressLineNumbers w:val="0"/>
        <w:spacing w:before="0" w:beforeAutospacing="0" w:after="0" w:afterAutospacing="0" w:line="600" w:lineRule="exact"/>
        <w:ind w:left="0" w:right="0" w:firstLine="683" w:firstLineChars="200"/>
        <w:jc w:val="both"/>
        <w:rPr>
          <w:rFonts w:hint="eastAsia" w:ascii="仿宋_GB2312" w:eastAsia="仿宋_GB2312" w:cs="仿宋_GB2312"/>
          <w:kern w:val="0"/>
          <w:sz w:val="34"/>
          <w:szCs w:val="34"/>
        </w:rPr>
      </w:pPr>
      <w:r>
        <w:rPr>
          <w:rFonts w:hint="eastAsia" w:ascii="仿宋_GB2312" w:hAnsi="Times New Roman" w:eastAsia="仿宋_GB2312" w:cs="仿宋_GB2312"/>
          <w:b/>
          <w:bCs/>
          <w:kern w:val="0"/>
          <w:sz w:val="34"/>
          <w:szCs w:val="34"/>
          <w:lang w:val="en-US" w:eastAsia="zh-CN" w:bidi="ar"/>
        </w:rPr>
        <w:t xml:space="preserve">第三十四条 </w:t>
      </w:r>
      <w:r>
        <w:rPr>
          <w:rFonts w:hint="eastAsia" w:ascii="仿宋_GB2312" w:hAnsi="Times New Roman" w:eastAsia="仿宋_GB2312" w:cs="仿宋_GB2312"/>
          <w:kern w:val="0"/>
          <w:sz w:val="34"/>
          <w:szCs w:val="34"/>
          <w:lang w:val="en-US" w:eastAsia="zh-CN" w:bidi="ar"/>
        </w:rPr>
        <w:t>对于违反本规定相关内容的行为，按照公司设备管理考核实施细则予以考核。</w:t>
      </w:r>
    </w:p>
    <w:p w14:paraId="3AA31CAF">
      <w:pPr>
        <w:keepNext w:val="0"/>
        <w:keepLines w:val="0"/>
        <w:widowControl w:val="0"/>
        <w:suppressLineNumbers w:val="0"/>
        <w:spacing w:before="0" w:beforeAutospacing="0" w:after="0" w:afterAutospacing="0" w:line="600" w:lineRule="exact"/>
        <w:ind w:left="0" w:right="0" w:firstLine="683" w:firstLineChars="200"/>
        <w:jc w:val="both"/>
        <w:rPr>
          <w:rFonts w:hint="eastAsia" w:ascii="黑体" w:hAnsi="宋体" w:eastAsia="黑体" w:cs="黑体"/>
          <w:kern w:val="0"/>
          <w:sz w:val="34"/>
          <w:szCs w:val="34"/>
        </w:rPr>
        <w:sectPr>
          <w:pgSz w:w="11906" w:h="16838"/>
          <w:pgMar w:top="1440" w:right="1800" w:bottom="1440" w:left="1800" w:header="851" w:footer="992" w:gutter="0"/>
          <w:cols w:space="425" w:num="1"/>
          <w:docGrid w:type="lines" w:linePitch="312" w:charSpace="0"/>
        </w:sectPr>
      </w:pPr>
      <w:r>
        <w:rPr>
          <w:rFonts w:hint="eastAsia" w:ascii="仿宋_GB2312" w:hAnsi="Times New Roman" w:eastAsia="仿宋_GB2312" w:cs="仿宋_GB2312"/>
          <w:b/>
          <w:bCs/>
          <w:kern w:val="0"/>
          <w:sz w:val="34"/>
          <w:szCs w:val="34"/>
          <w:lang w:val="en-US" w:eastAsia="zh-CN" w:bidi="ar"/>
        </w:rPr>
        <w:t xml:space="preserve">第三十五条 </w:t>
      </w:r>
      <w:r>
        <w:rPr>
          <w:rFonts w:hint="eastAsia" w:ascii="仿宋_GB2312" w:hAnsi="Times New Roman" w:eastAsia="仿宋_GB2312" w:cs="仿宋_GB2312"/>
          <w:kern w:val="0"/>
          <w:sz w:val="34"/>
          <w:szCs w:val="34"/>
          <w:lang w:val="en-US" w:eastAsia="zh-CN" w:bidi="ar"/>
        </w:rPr>
        <w:t>本细则自下发之日起施行，由装备保障部负责解释。</w:t>
      </w:r>
    </w:p>
    <w:p w14:paraId="2FDA5C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8D62CE"/>
    <w:rsid w:val="69050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val="0"/>
      <w:widowControl w:val="0"/>
      <w:suppressLineNumbers w:val="0"/>
      <w:spacing w:before="0" w:beforeAutospacing="0" w:after="0" w:afterAutospacing="0"/>
      <w:ind w:left="0" w:right="0"/>
      <w:jc w:val="center"/>
      <w:outlineLvl w:val="0"/>
    </w:pPr>
    <w:rPr>
      <w:rFonts w:hint="default" w:ascii="Times New Roman" w:hAnsi="Times New Roman" w:eastAsia="宋体" w:cs="Times New Roman"/>
      <w:b/>
      <w:bCs/>
      <w:kern w:val="2"/>
      <w:sz w:val="30"/>
      <w:szCs w:val="30"/>
      <w:lang w:val="en-US" w:eastAsia="zh-CN" w:bidi="ar"/>
    </w:rPr>
  </w:style>
  <w:style w:type="character" w:default="1" w:styleId="6">
    <w:name w:val="Default Paragraph Font"/>
    <w:semiHidden/>
    <w:qFormat/>
    <w:uiPriority w:val="0"/>
  </w:style>
  <w:style w:type="table" w:default="1" w:styleId="5">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uiPriority w:val="0"/>
    <w:pPr>
      <w:keepNext w:val="0"/>
      <w:keepLines w:val="0"/>
      <w:widowControl w:val="0"/>
      <w:suppressLineNumbers w:val="0"/>
      <w:spacing w:after="120" w:afterAutospacing="0"/>
      <w:jc w:val="both"/>
    </w:pPr>
    <w:rPr>
      <w:rFonts w:hint="default" w:ascii="Times New Roman" w:hAnsi="Times New Roman" w:cs="Times New Roman"/>
      <w:kern w:val="2"/>
      <w:sz w:val="21"/>
      <w:szCs w:val="21"/>
      <w:lang w:val="en-US" w:eastAsia="zh-CN" w:bidi="ar"/>
    </w:rPr>
  </w:style>
  <w:style w:type="paragraph" w:styleId="4">
    <w:name w:val="Plain Text"/>
    <w:basedOn w:val="1"/>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宋体"/>
      <w:kern w:val="2"/>
      <w:sz w:val="21"/>
      <w:szCs w:val="21"/>
      <w:lang w:val="en-US" w:eastAsia="zh-CN" w:bidi="ar"/>
    </w:rPr>
  </w:style>
  <w:style w:type="character" w:customStyle="1" w:styleId="7">
    <w:name w:val="17"/>
    <w:basedOn w:val="6"/>
    <w:uiPriority w:val="0"/>
    <w:rPr>
      <w:rFonts w:hint="eastAsia" w:ascii="宋体" w:hAnsi="宋体" w:eastAsia="宋体" w:cs="宋体"/>
      <w:color w:val="000000"/>
      <w:sz w:val="16"/>
      <w:szCs w:val="16"/>
    </w:rPr>
  </w:style>
  <w:style w:type="character" w:customStyle="1" w:styleId="8">
    <w:name w:val="16"/>
    <w:basedOn w:val="6"/>
    <w:uiPriority w:val="0"/>
    <w:rPr>
      <w:rFonts w:hint="eastAsia" w:ascii="宋体" w:hAnsi="宋体" w:eastAsia="宋体" w:cs="宋体"/>
      <w:color w:val="000000"/>
      <w:sz w:val="16"/>
      <w:szCs w:val="16"/>
    </w:rPr>
  </w:style>
  <w:style w:type="character" w:customStyle="1" w:styleId="9">
    <w:name w:val="15"/>
    <w:basedOn w:val="6"/>
    <w:uiPriority w:val="0"/>
    <w:rPr>
      <w:rFonts w:hint="default" w:ascii="Wingdings" w:hAnsi="Wingdings" w:cs="Wingdings"/>
      <w:color w:val="000000"/>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3093</Words>
  <Characters>3215</Characters>
  <Lines>0</Lines>
  <Paragraphs>0</Paragraphs>
  <TotalTime>25</TotalTime>
  <ScaleCrop>false</ScaleCrop>
  <LinksUpToDate>false</LinksUpToDate>
  <CharactersWithSpaces>3332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2025-01-22T08:25:00Z</dcterms:created>
  <dc:creator>Administrator</dc:creator>
  <cp:lastModifiedBy>清风明月</cp:lastModifiedBy>
  <dcterms:modified xsi:type="dcterms:W3CDTF">2025-02-06T00:43:11Z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eyJoZGlkIjoiZjU2ODIzZDZiMmRhYTBiYWFkYTQ3NWQ0ODJhOWM0NzYiLCJ1c2VySWQiOiIzNDA2NTAzMjUifQ==</vt:lpwstr>
  </property>
  <property fmtid="{D5CDD505-2E9C-101B-9397-08002B2CF9AE}" pid="4" name="ICV">
    <vt:lpwstr>50437E9DAC8E43ECA03B5DB1295A327D_12</vt:lpwstr>
  </property>
</Properties>
</file>